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412386</w:t>
      </w:r>
      <w:bookmarkEnd w:id="5"/>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Maastricht, Netherlands, 19th – 23rd August,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jc w:val="left"/>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8.4.3</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cs="Arial"/>
          <w:b/>
          <w:sz w:val="24"/>
          <w:szCs w:val="24"/>
          <w:lang w:val="en-US" w:eastAsia="zh-CN"/>
        </w:rPr>
        <w:t xml:space="preserve">        </w:t>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widowControl w:val="0"/>
        <w:tabs>
          <w:tab w:val="left" w:pos="1985"/>
        </w:tabs>
        <w:spacing w:before="157" w:beforeLines="50" w:after="0" w:afterLines="0" w:line="240" w:lineRule="auto"/>
        <w:ind w:left="1979" w:hanging="1979" w:firstLineChars="0"/>
        <w:jc w:val="left"/>
        <w:outlineLvl w:val="9"/>
        <w:rPr>
          <w:rFonts w:hint="eastAsia" w:ascii="Arial" w:hAnsi="Arial" w:eastAsia="宋体" w:cs="Arial"/>
          <w:b/>
          <w:sz w:val="24"/>
          <w:szCs w:val="24"/>
        </w:rPr>
      </w:pPr>
      <w:r>
        <w:rPr>
          <w:rFonts w:hint="eastAsia" w:ascii="Arial" w:hAnsi="Arial" w:eastAsia="宋体" w:cs="Arial"/>
          <w:b/>
          <w:sz w:val="24"/>
          <w:szCs w:val="24"/>
          <w:lang w:eastAsia="zh-CN"/>
        </w:rPr>
        <w:t xml:space="preserve">Title: </w:t>
      </w:r>
      <w:r>
        <w:rPr>
          <w:rFonts w:hint="eastAsia" w:ascii="Arial" w:hAnsi="Arial" w:cs="Arial"/>
          <w:b/>
          <w:sz w:val="24"/>
          <w:szCs w:val="24"/>
          <w:lang w:val="en-US" w:eastAsia="zh-CN"/>
        </w:rPr>
        <w:t xml:space="preserve">          </w:t>
      </w:r>
      <w:r>
        <w:rPr>
          <w:rFonts w:ascii="Arial" w:hAnsi="Arial" w:eastAsia="宋体"/>
          <w:b/>
          <w:sz w:val="24"/>
          <w:lang w:val="en-US" w:eastAsia="zh-CN"/>
        </w:rPr>
        <w:t>Initial discussion on RRM impacts for less than 5MHz BW</w:t>
      </w:r>
      <w:r>
        <w:rPr>
          <w:rFonts w:hint="eastAsia" w:ascii="Arial" w:hAnsi="Arial" w:cs="Arial"/>
          <w:b/>
          <w:sz w:val="24"/>
          <w:szCs w:val="24"/>
          <w:lang w:val="en-US" w:eastAsia="zh-CN"/>
        </w:rPr>
        <w:t xml:space="preserve"> </w:t>
      </w:r>
      <w:r>
        <w:rPr>
          <w:rFonts w:hint="eastAsia" w:ascii="Arial" w:hAnsi="Arial" w:cs="Arial"/>
          <w:b/>
          <w:sz w:val="24"/>
          <w:szCs w:val="24"/>
        </w:rPr>
        <w:t xml:space="preserve">  </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overflowPunct w:val="0"/>
        <w:autoSpaceDE w:val="0"/>
        <w:autoSpaceDN w:val="0"/>
        <w:adjustRightInd w:val="0"/>
        <w:spacing w:before="120" w:beforeLines="0" w:after="120" w:afterLines="0"/>
        <w:textAlignment w:val="baseline"/>
      </w:pPr>
      <w:r>
        <w:rPr>
          <w:rStyle w:val="97"/>
        </w:rPr>
        <w:t>The work item on NR support for dedicated spectrum less than 5MHz for FR1 was approved at RAN#</w:t>
      </w:r>
      <w:r>
        <w:rPr>
          <w:rStyle w:val="97"/>
          <w:rFonts w:hint="eastAsia"/>
          <w:lang w:val="en-US" w:eastAsia="zh-CN"/>
        </w:rPr>
        <w:t>103[1]. according to the WID,</w:t>
      </w:r>
      <w:r>
        <w:rPr>
          <w:rFonts w:eastAsia="宋体"/>
          <w:lang w:eastAsia="zh-CN"/>
        </w:rPr>
        <w:t xml:space="preserve"> RAN4 RRM works starts in this meeting</w:t>
      </w:r>
      <w:r>
        <w:rPr>
          <w:rFonts w:hint="eastAsia" w:eastAsia="宋体"/>
          <w:lang w:val="en-US" w:eastAsia="zh-CN"/>
        </w:rPr>
        <w:t xml:space="preserve"> </w:t>
      </w:r>
      <w:r>
        <w:t>and main RAN4 scopes are summarized as following:</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numPr>
                <w:ilvl w:val="0"/>
                <w:numId w:val="5"/>
              </w:numPr>
              <w:overflowPunct/>
              <w:autoSpaceDE/>
              <w:autoSpaceDN/>
              <w:adjustRightInd/>
              <w:spacing w:before="60" w:after="60"/>
              <w:textAlignment w:val="auto"/>
              <w:rPr>
                <w:color w:val="000000"/>
                <w:lang w:val="en-US" w:eastAsia="zh-CN"/>
              </w:rPr>
            </w:pPr>
            <w:r>
              <w:rPr>
                <w:color w:val="000000"/>
                <w:lang w:val="en-US" w:eastAsia="zh-CN"/>
              </w:rPr>
              <w:t>Define common co-located and non-co-located inter-band</w:t>
            </w:r>
            <w:r>
              <w:rPr>
                <w:color w:val="000000"/>
                <w:highlight w:val="yellow"/>
                <w:lang w:val="en-US" w:eastAsia="zh-CN"/>
              </w:rPr>
              <w:t xml:space="preserve"> NR CA/DC </w:t>
            </w:r>
            <w:r>
              <w:rPr>
                <w:color w:val="000000"/>
                <w:lang w:val="en-US" w:eastAsia="zh-CN"/>
              </w:rPr>
              <w:t>UE RF requirements with 3MHz CBW in the one band and 5MHz or 10MHz CBW in the other band</w:t>
            </w:r>
          </w:p>
          <w:p>
            <w:pPr>
              <w:numPr>
                <w:ilvl w:val="1"/>
                <w:numId w:val="5"/>
              </w:numPr>
              <w:overflowPunct/>
              <w:autoSpaceDE/>
              <w:autoSpaceDN/>
              <w:adjustRightInd/>
              <w:spacing w:before="60" w:after="60"/>
              <w:textAlignment w:val="auto"/>
              <w:rPr>
                <w:color w:val="000000"/>
                <w:lang w:val="en-US" w:eastAsia="zh-CN"/>
              </w:rPr>
            </w:pPr>
            <w:r>
              <w:rPr>
                <w:color w:val="000000"/>
                <w:lang w:val="en-US" w:eastAsia="zh-CN"/>
              </w:rPr>
              <w:t>Example band combination: CA/DC of 3MHz in band n100 and 5MHz or 10MHz in band n101</w:t>
            </w:r>
          </w:p>
          <w:p>
            <w:pPr>
              <w:numPr>
                <w:ilvl w:val="0"/>
                <w:numId w:val="5"/>
              </w:numPr>
              <w:overflowPunct/>
              <w:autoSpaceDE/>
              <w:autoSpaceDN/>
              <w:adjustRightInd/>
              <w:spacing w:before="60" w:after="60"/>
              <w:textAlignment w:val="auto"/>
              <w:rPr>
                <w:color w:val="000000"/>
                <w:lang w:val="en-US" w:eastAsia="zh-CN"/>
              </w:rPr>
            </w:pPr>
            <w:r>
              <w:rPr>
                <w:color w:val="000000"/>
                <w:lang w:val="en-US" w:eastAsia="zh-CN"/>
              </w:rPr>
              <w:t>Define RRM requirements for inter-band CA and DC for combinations introduced in RF part</w:t>
            </w:r>
          </w:p>
          <w:p>
            <w:pPr>
              <w:overflowPunct/>
              <w:autoSpaceDE/>
              <w:autoSpaceDN/>
              <w:adjustRightInd/>
              <w:spacing w:before="0" w:beforeLines="-2147483648" w:after="0" w:afterLines="-2147483648"/>
              <w:textAlignment w:val="auto"/>
            </w:pPr>
            <w:r>
              <w:rPr>
                <w:rFonts w:hint="eastAsia"/>
                <w:lang w:val="en-US" w:eastAsia="zh-CN"/>
              </w:rPr>
              <w:t>N</w:t>
            </w:r>
            <w:r>
              <w:rPr>
                <w:lang w:val="en-US" w:eastAsia="zh-CN"/>
              </w:rPr>
              <w:t>ote: other band combinations than example band combinations can be specified in basket WIs after the above generic requirements are specified.</w:t>
            </w:r>
          </w:p>
          <w:p>
            <w:pPr>
              <w:rPr>
                <w:rFonts w:ascii="Times New Roman" w:hAnsi="Times New Roman"/>
                <w:lang w:val="en-US" w:eastAsia="ja-JP"/>
              </w:rPr>
            </w:pPr>
          </w:p>
        </w:tc>
      </w:tr>
    </w:tbl>
    <w:p>
      <w:pPr>
        <w:overflowPunct w:val="0"/>
        <w:autoSpaceDE w:val="0"/>
        <w:autoSpaceDN w:val="0"/>
        <w:adjustRightInd w:val="0"/>
        <w:spacing w:before="120" w:beforeLines="0" w:after="120" w:afterLines="0"/>
        <w:textAlignment w:val="baseline"/>
        <w:outlineLvl w:val="9"/>
        <w:rPr>
          <w:rFonts w:eastAsia="宋体"/>
          <w:lang w:val="en-US" w:eastAsia="zh-CN"/>
        </w:rPr>
      </w:pPr>
      <w:r>
        <w:rPr>
          <w:rFonts w:eastAsia="宋体"/>
          <w:lang w:eastAsia="zh-CN"/>
        </w:rPr>
        <w:t>As this is the first meeting for this WI, we will provide our initial views on potential impacts on RRM requirements.</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0"/>
      <w:bookmarkStart w:id="3" w:name="OLE_LINK13"/>
      <w:bookmarkStart w:id="4" w:name="OLE_LINK20"/>
      <w:r>
        <w:rPr>
          <w:rFonts w:hint="eastAsia" w:eastAsia="Times New Roman"/>
        </w:rPr>
        <w:t xml:space="preserve"> </w:t>
      </w:r>
    </w:p>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cs="Times New Roman" w:eastAsiaTheme="minorEastAsia"/>
          <w:szCs w:val="21"/>
          <w:lang w:val="en-US" w:eastAsia="zh-CN"/>
        </w:rPr>
        <w:t xml:space="preserve">In Rel-18, the impact </w:t>
      </w:r>
      <w:r>
        <w:rPr>
          <w:lang w:eastAsia="zh-CN"/>
        </w:rPr>
        <w:t>to support operation in dedicated spectrum allocations from approximately 3 MHz up to below 5 MHz</w:t>
      </w:r>
      <w:r>
        <w:rPr>
          <w:rFonts w:hint="eastAsia"/>
          <w:lang w:val="en-US" w:eastAsia="zh-CN"/>
        </w:rPr>
        <w:t xml:space="preserve"> has been discussed for single carrier and relative RRM requirements were updated. In Rel-19, RAN4 should define RRM requirements for inter-band CA and DC cases.</w:t>
      </w:r>
    </w:p>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lang w:val="en-US" w:eastAsia="zh-CN"/>
        </w:rPr>
        <w:t>In Rel-18, RAN4 only defined SSB-based L3/L1 measurement requirements and not defined CSI-based L3/L1 measurement requirements. Similar as Rel-18, we perfer only to define SSB-based measurement. As to CSI-RS based measurement, it should be depriority.</w:t>
      </w:r>
    </w:p>
    <w:p>
      <w:pPr>
        <w:keepNext w:val="0"/>
        <w:keepLines w:val="0"/>
        <w:pageBreakBefore w:val="0"/>
        <w:widowControl/>
        <w:kinsoku/>
        <w:wordWrap/>
        <w:topLinePunct w:val="0"/>
        <w:bidi w:val="0"/>
        <w:snapToGrid/>
        <w:spacing w:before="0" w:beforeLines="0" w:after="157" w:afterLines="50"/>
        <w:rPr>
          <w:rFonts w:hint="default"/>
          <w:b/>
          <w:bCs/>
          <w:lang w:val="en-US" w:eastAsia="zh-CN"/>
        </w:rPr>
      </w:pPr>
      <w:r>
        <w:rPr>
          <w:rFonts w:hint="eastAsia"/>
          <w:b/>
          <w:bCs/>
          <w:lang w:val="en-US" w:eastAsia="zh-CN"/>
        </w:rPr>
        <w:t>Proposal 1: RAN4 will define SSB-based L1/L3 measurement requirements. And CSI-RS based L1/L3 measurement is recommended to be accorded a lower priority.</w:t>
      </w:r>
    </w:p>
    <w:p>
      <w:pPr>
        <w:keepNext w:val="0"/>
        <w:keepLines w:val="0"/>
        <w:pageBreakBefore w:val="0"/>
        <w:widowControl/>
        <w:kinsoku/>
        <w:wordWrap/>
        <w:topLinePunct w:val="0"/>
        <w:bidi w:val="0"/>
        <w:snapToGrid/>
        <w:spacing w:before="0" w:beforeLines="0" w:after="157" w:afterLines="50"/>
        <w:rPr>
          <w:rFonts w:hint="eastAsia"/>
          <w:lang w:val="en-US" w:eastAsia="zh-CN"/>
        </w:rPr>
      </w:pPr>
      <w:r>
        <w:rPr>
          <w:rFonts w:hint="eastAsia"/>
          <w:lang w:val="en-US" w:eastAsia="zh-CN"/>
        </w:rPr>
        <w:t>As per the WID in Rel-19, CA and DC are supported and the RRM requirements maybe impact due to introduction of NR in less than 5 MHz bandwidth. RANP agreed to use a PBCH transmission bandwidth is 20 PRBs for 5MHz channel bandwidth and a PBCH transmission bandwidth is 12 PRBs for 3MHz channel bandwidth. So, there is no impact when CBW equals to 5MHz. For the case that CBW equals to 3MHz, the transmission bandwidth for PBCH is smaller and RAN4 should further discuss whether to update relative requirements or not.</w:t>
      </w:r>
    </w:p>
    <w:p>
      <w:pPr>
        <w:keepNext w:val="0"/>
        <w:keepLines w:val="0"/>
        <w:pageBreakBefore w:val="0"/>
        <w:widowControl/>
        <w:kinsoku/>
        <w:wordWrap/>
        <w:topLinePunct w:val="0"/>
        <w:bidi w:val="0"/>
        <w:snapToGrid/>
        <w:spacing w:before="0" w:beforeLines="0" w:after="157" w:afterLines="50"/>
        <w:rPr>
          <w:lang w:eastAsia="ja-JP"/>
        </w:rPr>
      </w:pPr>
      <w:r>
        <w:rPr>
          <w:lang w:eastAsia="ja-JP"/>
        </w:rPr>
        <w:t>The reduced PBCH bandwidth for 3MHz channel bandwidth will have an impact on RRM requirements that depend on PBCH DMRS detection, PBCH decoding etc. RAN4 to study impact of reduced PBCH BW of 12PRBs for 3MHz channel bandwidth on at least the following RRM requirements:</w:t>
      </w:r>
    </w:p>
    <w:tbl>
      <w:tblPr>
        <w:tblStyle w:val="22"/>
        <w:tblW w:w="9631" w:type="dxa"/>
        <w:tblInd w:w="0" w:type="dxa"/>
        <w:tblLayout w:type="autofit"/>
        <w:tblCellMar>
          <w:top w:w="0" w:type="dxa"/>
          <w:left w:w="0" w:type="dxa"/>
          <w:bottom w:w="0" w:type="dxa"/>
          <w:right w:w="0" w:type="dxa"/>
        </w:tblCellMar>
      </w:tblPr>
      <w:tblGrid>
        <w:gridCol w:w="2512"/>
        <w:gridCol w:w="4903"/>
        <w:gridCol w:w="2216"/>
      </w:tblGrid>
      <w:tr>
        <w:tblPrEx>
          <w:tblCellMar>
            <w:top w:w="0" w:type="dxa"/>
            <w:left w:w="0" w:type="dxa"/>
            <w:bottom w:w="0" w:type="dxa"/>
            <w:right w:w="0" w:type="dxa"/>
          </w:tblCellMar>
        </w:tblPrEx>
        <w:trPr>
          <w:trHeight w:val="314" w:hRule="atLeast"/>
        </w:trPr>
        <w:tc>
          <w:tcPr>
            <w:tcW w:w="2512" w:type="dxa"/>
            <w:tcBorders>
              <w:top w:val="single" w:color="000000" w:sz="6" w:space="0"/>
              <w:left w:val="single" w:color="000000" w:sz="6" w:space="0"/>
              <w:bottom w:val="single" w:color="000000" w:sz="12" w:space="0"/>
              <w:right w:val="single" w:color="000000" w:sz="6" w:space="0"/>
            </w:tcBorders>
            <w:shd w:val="clear" w:color="auto" w:fill="auto"/>
            <w:tcMar>
              <w:top w:w="90" w:type="dxa"/>
              <w:left w:w="90" w:type="dxa"/>
              <w:bottom w:w="90" w:type="dxa"/>
              <w:right w:w="90" w:type="dxa"/>
            </w:tcMar>
          </w:tcPr>
          <w:p>
            <w:pPr>
              <w:spacing w:beforeLines="0" w:after="157" w:afterLines="50"/>
              <w:rPr>
                <w:sz w:val="18"/>
                <w:szCs w:val="18"/>
              </w:rPr>
            </w:pPr>
            <w:r>
              <w:rPr>
                <w:b/>
                <w:bCs/>
                <w:color w:val="000000"/>
                <w:sz w:val="18"/>
                <w:szCs w:val="18"/>
              </w:rPr>
              <w:t>RRM requirements</w:t>
            </w:r>
          </w:p>
        </w:tc>
        <w:tc>
          <w:tcPr>
            <w:tcW w:w="4903" w:type="dxa"/>
            <w:tcBorders>
              <w:top w:val="single" w:color="000000" w:sz="6" w:space="0"/>
              <w:left w:val="single" w:color="000000" w:sz="6" w:space="0"/>
              <w:bottom w:val="single" w:color="000000" w:sz="12" w:space="0"/>
              <w:right w:val="single" w:color="000000" w:sz="6" w:space="0"/>
            </w:tcBorders>
            <w:shd w:val="clear" w:color="auto" w:fill="auto"/>
            <w:tcMar>
              <w:top w:w="90" w:type="dxa"/>
              <w:left w:w="90" w:type="dxa"/>
              <w:bottom w:w="90" w:type="dxa"/>
              <w:right w:w="90" w:type="dxa"/>
            </w:tcMar>
          </w:tcPr>
          <w:p>
            <w:pPr>
              <w:spacing w:beforeLines="0" w:after="157" w:afterLines="50"/>
              <w:rPr>
                <w:sz w:val="18"/>
                <w:szCs w:val="18"/>
              </w:rPr>
            </w:pPr>
            <w:r>
              <w:rPr>
                <w:b/>
                <w:bCs/>
                <w:color w:val="000000"/>
                <w:sz w:val="18"/>
                <w:szCs w:val="18"/>
              </w:rPr>
              <w:t>CBW = 3MHz</w:t>
            </w:r>
          </w:p>
        </w:tc>
        <w:tc>
          <w:tcPr>
            <w:tcW w:w="2216" w:type="dxa"/>
            <w:tcBorders>
              <w:top w:val="single" w:color="000000" w:sz="6" w:space="0"/>
              <w:left w:val="single" w:color="000000" w:sz="6" w:space="0"/>
              <w:bottom w:val="single" w:color="000000" w:sz="12" w:space="0"/>
              <w:right w:val="single" w:color="000000" w:sz="6" w:space="0"/>
            </w:tcBorders>
          </w:tcPr>
          <w:p>
            <w:pPr>
              <w:spacing w:beforeLines="0" w:after="157" w:afterLines="50"/>
              <w:rPr>
                <w:b/>
                <w:bCs/>
                <w:color w:val="000000"/>
                <w:sz w:val="18"/>
                <w:szCs w:val="18"/>
              </w:rPr>
            </w:pPr>
            <w:r>
              <w:rPr>
                <w:b/>
                <w:bCs/>
                <w:color w:val="000000"/>
                <w:sz w:val="18"/>
                <w:szCs w:val="18"/>
              </w:rPr>
              <w:t>CBW = 5MHz</w:t>
            </w:r>
          </w:p>
        </w:tc>
      </w:tr>
      <w:tr>
        <w:tblPrEx>
          <w:tblCellMar>
            <w:top w:w="0" w:type="dxa"/>
            <w:left w:w="0" w:type="dxa"/>
            <w:bottom w:w="0" w:type="dxa"/>
            <w:right w:w="0" w:type="dxa"/>
          </w:tblCellMar>
        </w:tblPrEx>
        <w:trPr>
          <w:trHeight w:val="811" w:hRule="atLeast"/>
        </w:trPr>
        <w:tc>
          <w:tcPr>
            <w:tcW w:w="2512" w:type="dxa"/>
            <w:tcBorders>
              <w:top w:val="single" w:color="000000" w:sz="12" w:space="0"/>
              <w:left w:val="single" w:color="000000" w:sz="6" w:space="0"/>
              <w:bottom w:val="single" w:color="000000" w:sz="6" w:space="0"/>
              <w:right w:val="single" w:color="000000" w:sz="12" w:space="0"/>
            </w:tcBorders>
            <w:shd w:val="clear" w:color="auto" w:fill="auto"/>
            <w:tcMar>
              <w:top w:w="90" w:type="dxa"/>
              <w:left w:w="90" w:type="dxa"/>
              <w:bottom w:w="90" w:type="dxa"/>
              <w:right w:w="90" w:type="dxa"/>
            </w:tcMar>
          </w:tcPr>
          <w:p>
            <w:pPr>
              <w:spacing w:beforeLines="0" w:after="157" w:afterLines="50"/>
              <w:rPr>
                <w:sz w:val="18"/>
                <w:szCs w:val="18"/>
              </w:rPr>
            </w:pPr>
            <w:r>
              <w:rPr>
                <w:b/>
                <w:bCs/>
                <w:color w:val="000000"/>
                <w:sz w:val="18"/>
                <w:szCs w:val="18"/>
              </w:rPr>
              <w:t>IDLE/inactive mode mobility</w:t>
            </w:r>
          </w:p>
        </w:tc>
        <w:tc>
          <w:tcPr>
            <w:tcW w:w="4903" w:type="dxa"/>
            <w:tcBorders>
              <w:top w:val="single" w:color="000000" w:sz="12" w:space="0"/>
              <w:left w:val="single" w:color="000000" w:sz="12" w:space="0"/>
              <w:bottom w:val="single" w:color="000000" w:sz="6" w:space="0"/>
              <w:right w:val="single" w:color="000000" w:sz="6" w:space="0"/>
            </w:tcBorders>
            <w:shd w:val="clear" w:color="auto" w:fill="auto"/>
            <w:tcMar>
              <w:top w:w="90" w:type="dxa"/>
              <w:left w:w="90" w:type="dxa"/>
              <w:bottom w:w="90" w:type="dxa"/>
              <w:right w:w="90" w:type="dxa"/>
            </w:tcMar>
          </w:tcPr>
          <w:p>
            <w:pPr>
              <w:tabs>
                <w:tab w:val="left" w:pos="0"/>
                <w:tab w:val="left" w:pos="2600"/>
              </w:tabs>
              <w:autoSpaceDE w:val="0"/>
              <w:autoSpaceDN w:val="0"/>
              <w:adjustRightInd w:val="0"/>
              <w:spacing w:beforeLines="0" w:after="157" w:afterLines="50"/>
              <w:rPr>
                <w:sz w:val="18"/>
                <w:szCs w:val="18"/>
              </w:rPr>
            </w:pPr>
            <w:r>
              <w:rPr>
                <w:sz w:val="18"/>
                <w:szCs w:val="18"/>
              </w:rPr>
              <w:t>FFS: EMR measurement with SS</w:t>
            </w:r>
            <w:r>
              <w:rPr>
                <w:rFonts w:hint="eastAsia"/>
                <w:sz w:val="18"/>
                <w:szCs w:val="18"/>
                <w:lang w:val="en-US" w:eastAsia="zh-CN"/>
              </w:rPr>
              <w:t>B</w:t>
            </w:r>
            <w:r>
              <w:rPr>
                <w:sz w:val="18"/>
                <w:szCs w:val="18"/>
              </w:rPr>
              <w:t xml:space="preserve"> index reading (section: 4.4.2.2 Measurements of inter-frequency CA/DC candidate cells)</w:t>
            </w:r>
          </w:p>
        </w:tc>
        <w:tc>
          <w:tcPr>
            <w:tcW w:w="2216" w:type="dxa"/>
            <w:tcBorders>
              <w:top w:val="single" w:color="000000" w:sz="12" w:space="0"/>
              <w:left w:val="single" w:color="000000" w:sz="12" w:space="0"/>
              <w:bottom w:val="single" w:color="000000" w:sz="6" w:space="0"/>
              <w:right w:val="single" w:color="000000" w:sz="6" w:space="0"/>
            </w:tcBorders>
          </w:tcPr>
          <w:p>
            <w:pPr>
              <w:spacing w:beforeLines="0" w:after="157" w:afterLines="50"/>
              <w:rPr>
                <w:sz w:val="18"/>
                <w:szCs w:val="18"/>
              </w:rPr>
            </w:pPr>
            <w:r>
              <w:rPr>
                <w:sz w:val="18"/>
                <w:szCs w:val="18"/>
              </w:rPr>
              <w:t>No impact</w:t>
            </w:r>
          </w:p>
        </w:tc>
      </w:tr>
      <w:tr>
        <w:tblPrEx>
          <w:tblCellMar>
            <w:top w:w="0" w:type="dxa"/>
            <w:left w:w="0" w:type="dxa"/>
            <w:bottom w:w="0" w:type="dxa"/>
            <w:right w:w="0" w:type="dxa"/>
          </w:tblCellMar>
        </w:tblPrEx>
        <w:trPr>
          <w:trHeight w:val="958" w:hRule="atLeast"/>
        </w:trPr>
        <w:tc>
          <w:tcPr>
            <w:tcW w:w="2512" w:type="dxa"/>
            <w:tcBorders>
              <w:top w:val="single" w:color="000000" w:sz="6" w:space="0"/>
              <w:left w:val="single" w:color="000000" w:sz="6" w:space="0"/>
              <w:bottom w:val="single" w:color="000000" w:sz="6" w:space="0"/>
              <w:right w:val="single" w:color="000000" w:sz="12" w:space="0"/>
            </w:tcBorders>
            <w:shd w:val="clear" w:color="auto" w:fill="auto"/>
            <w:tcMar>
              <w:top w:w="90" w:type="dxa"/>
              <w:left w:w="90" w:type="dxa"/>
              <w:bottom w:w="90" w:type="dxa"/>
              <w:right w:w="90" w:type="dxa"/>
            </w:tcMar>
          </w:tcPr>
          <w:p>
            <w:pPr>
              <w:spacing w:beforeLines="0" w:after="157" w:afterLines="50"/>
              <w:rPr>
                <w:b/>
                <w:bCs/>
                <w:color w:val="000000"/>
                <w:sz w:val="18"/>
                <w:szCs w:val="18"/>
              </w:rPr>
            </w:pPr>
            <w:r>
              <w:rPr>
                <w:b/>
                <w:bCs/>
                <w:color w:val="000000"/>
                <w:sz w:val="18"/>
                <w:szCs w:val="18"/>
              </w:rPr>
              <w:t>SCell activation/deactivation</w:t>
            </w:r>
          </w:p>
        </w:tc>
        <w:tc>
          <w:tcPr>
            <w:tcW w:w="4903" w:type="dxa"/>
            <w:tcBorders>
              <w:top w:val="single" w:color="000000" w:sz="6" w:space="0"/>
              <w:left w:val="single" w:color="000000" w:sz="12" w:space="0"/>
              <w:bottom w:val="single" w:color="000000" w:sz="6" w:space="0"/>
              <w:right w:val="single" w:color="000000" w:sz="6" w:space="0"/>
            </w:tcBorders>
            <w:shd w:val="clear" w:color="auto" w:fill="auto"/>
            <w:tcMar>
              <w:top w:w="90" w:type="dxa"/>
              <w:left w:w="90" w:type="dxa"/>
              <w:bottom w:w="90" w:type="dxa"/>
              <w:right w:w="90" w:type="dxa"/>
            </w:tcMar>
          </w:tcPr>
          <w:p>
            <w:pPr>
              <w:tabs>
                <w:tab w:val="left" w:pos="0"/>
                <w:tab w:val="left" w:pos="82"/>
                <w:tab w:val="left" w:pos="2600"/>
              </w:tabs>
              <w:autoSpaceDE w:val="0"/>
              <w:autoSpaceDN w:val="0"/>
              <w:adjustRightInd w:val="0"/>
              <w:spacing w:beforeLines="0" w:after="157" w:afterLines="50"/>
              <w:rPr>
                <w:sz w:val="18"/>
                <w:szCs w:val="18"/>
              </w:rPr>
            </w:pPr>
            <w:r>
              <w:rPr>
                <w:sz w:val="18"/>
                <w:szCs w:val="18"/>
              </w:rPr>
              <w:t xml:space="preserve">Activation delay requirement: </w:t>
            </w:r>
          </w:p>
          <w:p>
            <w:pPr>
              <w:tabs>
                <w:tab w:val="left" w:pos="0"/>
                <w:tab w:val="left" w:pos="82"/>
                <w:tab w:val="left" w:pos="2600"/>
              </w:tabs>
              <w:autoSpaceDE w:val="0"/>
              <w:autoSpaceDN w:val="0"/>
              <w:adjustRightInd w:val="0"/>
              <w:spacing w:beforeLines="0" w:after="157" w:afterLines="50"/>
              <w:rPr>
                <w:sz w:val="18"/>
                <w:szCs w:val="18"/>
              </w:rPr>
            </w:pPr>
            <w:r>
              <w:rPr>
                <w:sz w:val="18"/>
                <w:szCs w:val="18"/>
              </w:rPr>
              <w:t>FFS if PBCH BW reduction will impact SSB index reading during SCell activation</w:t>
            </w:r>
          </w:p>
        </w:tc>
        <w:tc>
          <w:tcPr>
            <w:tcW w:w="2216" w:type="dxa"/>
            <w:tcBorders>
              <w:top w:val="single" w:color="000000" w:sz="6" w:space="0"/>
              <w:left w:val="single" w:color="000000" w:sz="12" w:space="0"/>
              <w:bottom w:val="single" w:color="000000" w:sz="6" w:space="0"/>
              <w:right w:val="single" w:color="000000" w:sz="6" w:space="0"/>
            </w:tcBorders>
          </w:tcPr>
          <w:p>
            <w:pPr>
              <w:tabs>
                <w:tab w:val="left" w:pos="0"/>
                <w:tab w:val="left" w:pos="82"/>
                <w:tab w:val="left" w:pos="2600"/>
              </w:tabs>
              <w:autoSpaceDE w:val="0"/>
              <w:autoSpaceDN w:val="0"/>
              <w:adjustRightInd w:val="0"/>
              <w:spacing w:beforeLines="0" w:after="157" w:afterLines="50"/>
              <w:rPr>
                <w:sz w:val="18"/>
                <w:szCs w:val="18"/>
              </w:rPr>
            </w:pPr>
            <w:r>
              <w:rPr>
                <w:sz w:val="18"/>
                <w:szCs w:val="18"/>
              </w:rPr>
              <w:t>No impact</w:t>
            </w:r>
          </w:p>
        </w:tc>
      </w:tr>
      <w:tr>
        <w:tblPrEx>
          <w:tblCellMar>
            <w:top w:w="0" w:type="dxa"/>
            <w:left w:w="0" w:type="dxa"/>
            <w:bottom w:w="0" w:type="dxa"/>
            <w:right w:w="0" w:type="dxa"/>
          </w:tblCellMar>
        </w:tblPrEx>
        <w:trPr>
          <w:trHeight w:val="629" w:hRule="atLeast"/>
        </w:trPr>
        <w:tc>
          <w:tcPr>
            <w:tcW w:w="2512" w:type="dxa"/>
            <w:tcBorders>
              <w:top w:val="single" w:color="000000" w:sz="6" w:space="0"/>
              <w:left w:val="single" w:color="000000" w:sz="6" w:space="0"/>
              <w:bottom w:val="single" w:color="000000" w:sz="6" w:space="0"/>
              <w:right w:val="single" w:color="000000" w:sz="12" w:space="0"/>
            </w:tcBorders>
            <w:shd w:val="clear" w:color="auto" w:fill="auto"/>
            <w:tcMar>
              <w:top w:w="90" w:type="dxa"/>
              <w:left w:w="90" w:type="dxa"/>
              <w:bottom w:w="90" w:type="dxa"/>
              <w:right w:w="90" w:type="dxa"/>
            </w:tcMar>
          </w:tcPr>
          <w:p>
            <w:pPr>
              <w:spacing w:beforeLines="0" w:after="157" w:afterLines="50"/>
              <w:rPr>
                <w:b/>
                <w:bCs/>
                <w:color w:val="000000"/>
                <w:sz w:val="18"/>
                <w:szCs w:val="18"/>
              </w:rPr>
            </w:pPr>
            <w:r>
              <w:rPr>
                <w:b/>
                <w:bCs/>
                <w:color w:val="000000"/>
                <w:sz w:val="18"/>
                <w:szCs w:val="18"/>
              </w:rPr>
              <w:t>PSCell addition/change/release</w:t>
            </w:r>
          </w:p>
        </w:tc>
        <w:tc>
          <w:tcPr>
            <w:tcW w:w="4903" w:type="dxa"/>
            <w:tcBorders>
              <w:top w:val="single" w:color="000000" w:sz="6" w:space="0"/>
              <w:left w:val="single" w:color="000000" w:sz="12" w:space="0"/>
              <w:bottom w:val="single" w:color="000000" w:sz="6" w:space="0"/>
              <w:right w:val="single" w:color="000000" w:sz="6" w:space="0"/>
            </w:tcBorders>
            <w:shd w:val="clear" w:color="auto" w:fill="auto"/>
            <w:tcMar>
              <w:top w:w="90" w:type="dxa"/>
              <w:left w:w="90" w:type="dxa"/>
              <w:bottom w:w="90" w:type="dxa"/>
              <w:right w:w="90" w:type="dxa"/>
            </w:tcMar>
          </w:tcPr>
          <w:p>
            <w:pPr>
              <w:spacing w:beforeLines="0" w:after="157" w:afterLines="50"/>
              <w:rPr>
                <w:sz w:val="18"/>
                <w:szCs w:val="18"/>
              </w:rPr>
            </w:pPr>
            <w:r>
              <w:rPr>
                <w:sz w:val="18"/>
                <w:szCs w:val="18"/>
              </w:rPr>
              <w:t>PSCell addition:</w:t>
            </w:r>
          </w:p>
          <w:p>
            <w:pPr>
              <w:spacing w:beforeLines="0" w:after="157" w:afterLines="50"/>
              <w:rPr>
                <w:sz w:val="18"/>
                <w:szCs w:val="18"/>
              </w:rPr>
            </w:pPr>
            <w:r>
              <w:rPr>
                <w:sz w:val="18"/>
                <w:szCs w:val="18"/>
              </w:rPr>
              <w:t>FFS if PBCH BW reduction will impact SSB index reading during Tsearch</w:t>
            </w:r>
          </w:p>
        </w:tc>
        <w:tc>
          <w:tcPr>
            <w:tcW w:w="2216" w:type="dxa"/>
            <w:tcBorders>
              <w:top w:val="single" w:color="000000" w:sz="6" w:space="0"/>
              <w:left w:val="single" w:color="000000" w:sz="12" w:space="0"/>
              <w:bottom w:val="single" w:color="000000" w:sz="6" w:space="0"/>
              <w:right w:val="single" w:color="000000" w:sz="6" w:space="0"/>
            </w:tcBorders>
          </w:tcPr>
          <w:p>
            <w:pPr>
              <w:spacing w:beforeLines="0" w:after="157" w:afterLines="50"/>
              <w:rPr>
                <w:sz w:val="18"/>
                <w:szCs w:val="18"/>
              </w:rPr>
            </w:pPr>
            <w:r>
              <w:rPr>
                <w:sz w:val="18"/>
                <w:szCs w:val="18"/>
              </w:rPr>
              <w:t>No impact</w:t>
            </w:r>
          </w:p>
        </w:tc>
      </w:tr>
      <w:tr>
        <w:tblPrEx>
          <w:tblCellMar>
            <w:top w:w="0" w:type="dxa"/>
            <w:left w:w="0" w:type="dxa"/>
            <w:bottom w:w="0" w:type="dxa"/>
            <w:right w:w="0" w:type="dxa"/>
          </w:tblCellMar>
        </w:tblPrEx>
        <w:trPr>
          <w:trHeight w:val="629" w:hRule="atLeast"/>
        </w:trPr>
        <w:tc>
          <w:tcPr>
            <w:tcW w:w="2512" w:type="dxa"/>
            <w:tcBorders>
              <w:top w:val="single" w:color="000000" w:sz="6" w:space="0"/>
              <w:left w:val="single" w:color="000000" w:sz="6" w:space="0"/>
              <w:bottom w:val="single" w:color="000000" w:sz="6" w:space="0"/>
              <w:right w:val="single" w:color="000000" w:sz="12" w:space="0"/>
            </w:tcBorders>
            <w:shd w:val="clear" w:color="auto" w:fill="auto"/>
            <w:tcMar>
              <w:top w:w="90" w:type="dxa"/>
              <w:left w:w="90" w:type="dxa"/>
              <w:bottom w:w="90" w:type="dxa"/>
              <w:right w:w="90" w:type="dxa"/>
            </w:tcMar>
          </w:tcPr>
          <w:p>
            <w:pPr>
              <w:spacing w:beforeLines="0" w:after="157" w:afterLines="50"/>
              <w:rPr>
                <w:b/>
                <w:bCs/>
                <w:color w:val="000000"/>
                <w:sz w:val="18"/>
                <w:szCs w:val="18"/>
              </w:rPr>
            </w:pPr>
            <w:r>
              <w:rPr>
                <w:b/>
                <w:bCs/>
                <w:color w:val="000000"/>
                <w:sz w:val="18"/>
                <w:szCs w:val="18"/>
              </w:rPr>
              <w:t>SCG activation/deactivation</w:t>
            </w:r>
          </w:p>
        </w:tc>
        <w:tc>
          <w:tcPr>
            <w:tcW w:w="4903" w:type="dxa"/>
            <w:tcBorders>
              <w:top w:val="single" w:color="000000" w:sz="6" w:space="0"/>
              <w:left w:val="single" w:color="000000" w:sz="12" w:space="0"/>
              <w:bottom w:val="single" w:color="000000" w:sz="6" w:space="0"/>
              <w:right w:val="single" w:color="000000" w:sz="6" w:space="0"/>
            </w:tcBorders>
            <w:shd w:val="clear" w:color="auto" w:fill="auto"/>
            <w:tcMar>
              <w:top w:w="90" w:type="dxa"/>
              <w:left w:w="90" w:type="dxa"/>
              <w:bottom w:w="90" w:type="dxa"/>
              <w:right w:w="90" w:type="dxa"/>
            </w:tcMar>
          </w:tcPr>
          <w:p>
            <w:pPr>
              <w:spacing w:beforeLines="0" w:after="157" w:afterLines="50"/>
              <w:rPr>
                <w:sz w:val="18"/>
                <w:szCs w:val="18"/>
              </w:rPr>
            </w:pPr>
            <w:r>
              <w:rPr>
                <w:sz w:val="18"/>
                <w:szCs w:val="18"/>
              </w:rPr>
              <w:t>SCG activation:</w:t>
            </w:r>
          </w:p>
          <w:p>
            <w:pPr>
              <w:spacing w:beforeLines="0" w:after="157" w:afterLines="50"/>
              <w:rPr>
                <w:sz w:val="18"/>
                <w:szCs w:val="18"/>
              </w:rPr>
            </w:pPr>
            <w:r>
              <w:rPr>
                <w:sz w:val="18"/>
                <w:szCs w:val="18"/>
              </w:rPr>
              <w:t>FFS if PBCH BW reduction will impact SSB index reading during Tsearch</w:t>
            </w:r>
          </w:p>
        </w:tc>
        <w:tc>
          <w:tcPr>
            <w:tcW w:w="2216" w:type="dxa"/>
            <w:tcBorders>
              <w:top w:val="single" w:color="000000" w:sz="6" w:space="0"/>
              <w:left w:val="single" w:color="000000" w:sz="12" w:space="0"/>
              <w:bottom w:val="single" w:color="000000" w:sz="6" w:space="0"/>
              <w:right w:val="single" w:color="000000" w:sz="6" w:space="0"/>
            </w:tcBorders>
          </w:tcPr>
          <w:p>
            <w:pPr>
              <w:spacing w:beforeLines="0" w:after="157" w:afterLines="50"/>
              <w:rPr>
                <w:sz w:val="18"/>
                <w:szCs w:val="18"/>
              </w:rPr>
            </w:pPr>
            <w:r>
              <w:rPr>
                <w:sz w:val="18"/>
                <w:szCs w:val="18"/>
              </w:rPr>
              <w:t>No impact</w:t>
            </w:r>
          </w:p>
        </w:tc>
      </w:tr>
    </w:tbl>
    <w:p>
      <w:pPr>
        <w:spacing w:beforeLines="0" w:after="157" w:afterLines="50"/>
        <w:rPr>
          <w:b/>
          <w:bCs/>
          <w:szCs w:val="21"/>
          <w:lang w:eastAsia="ja-JP"/>
        </w:rPr>
      </w:pPr>
      <w:r>
        <w:rPr>
          <w:b/>
          <w:bCs/>
          <w:szCs w:val="21"/>
          <w:lang w:eastAsia="ja-JP"/>
        </w:rPr>
        <w:t xml:space="preserve">Proposal </w:t>
      </w:r>
      <w:r>
        <w:rPr>
          <w:rFonts w:hint="eastAsia"/>
          <w:b/>
          <w:bCs/>
          <w:szCs w:val="21"/>
          <w:lang w:val="en-US" w:eastAsia="zh-CN"/>
        </w:rPr>
        <w:t>2</w:t>
      </w:r>
      <w:r>
        <w:rPr>
          <w:b/>
          <w:bCs/>
          <w:szCs w:val="21"/>
          <w:lang w:eastAsia="ja-JP"/>
        </w:rPr>
        <w:t>: RAN4 to study impact of reduced PBCH BW of 12PRBs for 3MHz channel bandwidth on at least the following RRM requirements:</w:t>
      </w:r>
    </w:p>
    <w:p>
      <w:pPr>
        <w:keepNext w:val="0"/>
        <w:keepLines w:val="0"/>
        <w:pageBreakBefore w:val="0"/>
        <w:widowControl/>
        <w:numPr>
          <w:ilvl w:val="1"/>
          <w:numId w:val="6"/>
        </w:numPr>
        <w:kinsoku/>
        <w:wordWrap/>
        <w:topLinePunct w:val="0"/>
        <w:bidi w:val="0"/>
        <w:snapToGrid/>
        <w:spacing w:before="0" w:beforeLines="0" w:after="157" w:afterLines="50"/>
        <w:ind w:left="840" w:hanging="420"/>
        <w:rPr>
          <w:b/>
          <w:bCs/>
          <w:sz w:val="21"/>
          <w:szCs w:val="21"/>
        </w:rPr>
      </w:pPr>
      <w:r>
        <w:rPr>
          <w:b/>
          <w:bCs/>
          <w:sz w:val="21"/>
          <w:szCs w:val="21"/>
        </w:rPr>
        <w:t>EMR measurement with SS</w:t>
      </w:r>
      <w:r>
        <w:rPr>
          <w:rFonts w:hint="eastAsia"/>
          <w:b/>
          <w:bCs/>
          <w:sz w:val="21"/>
          <w:szCs w:val="21"/>
          <w:lang w:val="en-US" w:eastAsia="zh-CN"/>
        </w:rPr>
        <w:t>B</w:t>
      </w:r>
      <w:r>
        <w:rPr>
          <w:b/>
          <w:bCs/>
          <w:sz w:val="21"/>
          <w:szCs w:val="21"/>
        </w:rPr>
        <w:t xml:space="preserve"> index reading</w:t>
      </w:r>
    </w:p>
    <w:p>
      <w:pPr>
        <w:keepNext w:val="0"/>
        <w:keepLines w:val="0"/>
        <w:pageBreakBefore w:val="0"/>
        <w:widowControl/>
        <w:numPr>
          <w:ilvl w:val="1"/>
          <w:numId w:val="6"/>
        </w:numPr>
        <w:kinsoku/>
        <w:wordWrap/>
        <w:topLinePunct w:val="0"/>
        <w:bidi w:val="0"/>
        <w:snapToGrid/>
        <w:spacing w:before="0" w:beforeLines="0" w:after="157" w:afterLines="50"/>
        <w:ind w:left="840" w:hanging="420"/>
        <w:rPr>
          <w:b/>
          <w:bCs/>
          <w:sz w:val="21"/>
          <w:szCs w:val="21"/>
          <w:lang w:eastAsia="ja-JP"/>
        </w:rPr>
      </w:pPr>
      <w:r>
        <w:rPr>
          <w:b/>
          <w:bCs/>
          <w:color w:val="000000"/>
          <w:sz w:val="21"/>
          <w:szCs w:val="21"/>
        </w:rPr>
        <w:t>SCell activation/deactivation</w:t>
      </w:r>
    </w:p>
    <w:p>
      <w:pPr>
        <w:keepNext w:val="0"/>
        <w:keepLines w:val="0"/>
        <w:pageBreakBefore w:val="0"/>
        <w:widowControl/>
        <w:numPr>
          <w:ilvl w:val="1"/>
          <w:numId w:val="6"/>
        </w:numPr>
        <w:kinsoku/>
        <w:wordWrap/>
        <w:topLinePunct w:val="0"/>
        <w:bidi w:val="0"/>
        <w:snapToGrid/>
        <w:spacing w:before="0" w:beforeLines="0" w:after="157" w:afterLines="50"/>
        <w:ind w:left="840" w:hanging="420"/>
        <w:rPr>
          <w:b/>
          <w:bCs/>
          <w:color w:val="000000"/>
          <w:sz w:val="21"/>
          <w:szCs w:val="21"/>
        </w:rPr>
      </w:pPr>
      <w:r>
        <w:rPr>
          <w:b/>
          <w:bCs/>
          <w:color w:val="000000"/>
          <w:sz w:val="21"/>
          <w:szCs w:val="21"/>
        </w:rPr>
        <w:t>PSCell addition/change/release</w:t>
      </w:r>
    </w:p>
    <w:p>
      <w:pPr>
        <w:widowControl/>
        <w:numPr>
          <w:ilvl w:val="1"/>
          <w:numId w:val="6"/>
        </w:numPr>
        <w:spacing w:beforeLines="0" w:after="157" w:afterLines="50"/>
        <w:ind w:left="840" w:hanging="420"/>
        <w:rPr>
          <w:b/>
          <w:bCs/>
          <w:lang w:eastAsia="ja-JP"/>
        </w:rPr>
      </w:pPr>
      <w:r>
        <w:rPr>
          <w:b/>
          <w:bCs/>
          <w:color w:val="000000"/>
          <w:sz w:val="21"/>
          <w:szCs w:val="21"/>
        </w:rPr>
        <w:t>SCG activation/deactivation</w:t>
      </w:r>
    </w:p>
    <w:p>
      <w:pPr>
        <w:spacing w:beforeLines="0" w:after="157" w:afterLines="50"/>
        <w:rPr>
          <w:rFonts w:hint="eastAsia" w:eastAsia="宋体"/>
          <w:b/>
          <w:bCs/>
          <w:lang w:val="en-US" w:eastAsia="zh-CN"/>
        </w:rPr>
      </w:pPr>
      <w:r>
        <w:rPr>
          <w:rFonts w:hint="eastAsia"/>
          <w:b w:val="0"/>
          <w:bCs w:val="0"/>
          <w:lang w:val="en-US" w:eastAsia="zh-CN"/>
        </w:rPr>
        <w:t xml:space="preserve">For EMR measurement, the requirement for legacy UE is </w:t>
      </w:r>
      <w:r>
        <w:t>N2 = 3 if the NR inter-frequency carrier for idle mode CA/DC measurement reporting is in FR1</w:t>
      </w:r>
      <w:r>
        <w:rPr>
          <w:rFonts w:hint="eastAsia"/>
          <w:lang w:val="en-US" w:eastAsia="zh-CN"/>
        </w:rPr>
        <w:t>[2].</w:t>
      </w:r>
    </w:p>
    <w:p>
      <w:pPr>
        <w:pStyle w:val="44"/>
        <w:spacing w:beforeLines="0" w:after="157" w:afterLines="50"/>
        <w:rPr>
          <w:vertAlign w:val="subscript"/>
          <w:lang w:val="en-US"/>
        </w:rPr>
      </w:pPr>
      <w:r>
        <w:rPr>
          <w:lang w:val="en-US"/>
        </w:rPr>
        <w:t>Table 4.4.2.2-1: T</w:t>
      </w:r>
      <w:r>
        <w:rPr>
          <w:vertAlign w:val="subscript"/>
          <w:lang w:val="en-US"/>
        </w:rPr>
        <w:t>SSB_index,NR_Inter</w:t>
      </w:r>
      <w:r>
        <w:rPr>
          <w:lang w:val="en-US"/>
        </w:rPr>
        <w:t xml:space="preserve"> </w:t>
      </w:r>
    </w:p>
    <w:tbl>
      <w:tblPr>
        <w:tblStyle w:val="22"/>
        <w:tblW w:w="27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1056"/>
        <w:gridCol w:w="1059"/>
        <w:gridCol w:w="2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trPr>
        <w:tc>
          <w:tcPr>
            <w:tcW w:w="1089" w:type="pct"/>
            <w:tcBorders>
              <w:top w:val="single" w:color="auto" w:sz="4" w:space="0"/>
              <w:left w:val="single" w:color="auto" w:sz="4" w:space="0"/>
              <w:bottom w:val="nil"/>
              <w:right w:val="single" w:color="auto" w:sz="4" w:space="0"/>
            </w:tcBorders>
            <w:shd w:val="clear" w:color="auto" w:fill="auto"/>
          </w:tcPr>
          <w:p>
            <w:pPr>
              <w:pStyle w:val="34"/>
              <w:spacing w:beforeLines="0" w:after="157" w:afterLines="50"/>
              <w:rPr>
                <w:lang w:val="en-US"/>
              </w:rPr>
            </w:pPr>
            <w:r>
              <w:rPr>
                <w:lang w:val="en-US"/>
              </w:rPr>
              <w:t>DRX cycle length [s]</w:t>
            </w:r>
          </w:p>
        </w:tc>
        <w:tc>
          <w:tcPr>
            <w:tcW w:w="1911" w:type="pct"/>
            <w:gridSpan w:val="2"/>
            <w:tcBorders>
              <w:top w:val="single" w:color="auto" w:sz="4" w:space="0"/>
              <w:left w:val="single" w:color="auto" w:sz="4" w:space="0"/>
              <w:bottom w:val="single" w:color="auto" w:sz="4" w:space="0"/>
              <w:right w:val="single" w:color="auto" w:sz="4" w:space="0"/>
            </w:tcBorders>
          </w:tcPr>
          <w:p>
            <w:pPr>
              <w:pStyle w:val="34"/>
              <w:spacing w:beforeLines="0" w:after="157" w:afterLines="50"/>
              <w:rPr>
                <w:lang w:val="en-US"/>
              </w:rPr>
            </w:pPr>
            <w:r>
              <w:rPr>
                <w:lang w:val="en-US"/>
              </w:rPr>
              <w:t>Scaling Factor (N1)</w:t>
            </w:r>
          </w:p>
        </w:tc>
        <w:tc>
          <w:tcPr>
            <w:tcW w:w="2000" w:type="pct"/>
            <w:tcBorders>
              <w:top w:val="single" w:color="auto" w:sz="4" w:space="0"/>
              <w:left w:val="single" w:color="auto" w:sz="4" w:space="0"/>
              <w:bottom w:val="nil"/>
              <w:right w:val="single" w:color="auto" w:sz="4" w:space="0"/>
            </w:tcBorders>
            <w:shd w:val="clear" w:color="auto" w:fill="auto"/>
          </w:tcPr>
          <w:p>
            <w:pPr>
              <w:pStyle w:val="34"/>
              <w:spacing w:beforeLines="0" w:after="157" w:afterLines="50"/>
              <w:rPr>
                <w:lang w:val="en-US"/>
              </w:rPr>
            </w:pPr>
            <w:r>
              <w:rPr>
                <w:lang w:val="en-US"/>
              </w:rPr>
              <w:t>T</w:t>
            </w:r>
            <w:r>
              <w:rPr>
                <w:vertAlign w:val="subscript"/>
                <w:lang w:val="en-US"/>
              </w:rPr>
              <w:t>SSB_index,NR_</w:t>
            </w:r>
            <w:r>
              <w:rPr>
                <w:rFonts w:cs="v4.2.0"/>
                <w:vertAlign w:val="subscript"/>
                <w:lang w:val="en-US"/>
              </w:rPr>
              <w:t>Inter</w:t>
            </w:r>
            <w:r>
              <w:rPr>
                <w:lang w:val="en-US"/>
              </w:rP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34"/>
              <w:spacing w:beforeLines="0" w:after="157" w:afterLines="50"/>
              <w:rPr>
                <w:lang w:val="en-US"/>
              </w:rPr>
            </w:pPr>
          </w:p>
        </w:tc>
        <w:tc>
          <w:tcPr>
            <w:tcW w:w="954" w:type="pct"/>
            <w:tcBorders>
              <w:top w:val="single" w:color="auto" w:sz="4" w:space="0"/>
              <w:left w:val="single" w:color="auto" w:sz="4" w:space="0"/>
              <w:bottom w:val="single" w:color="auto" w:sz="4" w:space="0"/>
              <w:right w:val="single" w:color="auto" w:sz="4" w:space="0"/>
            </w:tcBorders>
          </w:tcPr>
          <w:p>
            <w:pPr>
              <w:pStyle w:val="34"/>
              <w:spacing w:beforeLines="0" w:after="157" w:afterLines="50"/>
              <w:rPr>
                <w:lang w:val="en-US"/>
              </w:rPr>
            </w:pPr>
            <w:r>
              <w:rPr>
                <w:lang w:val="en-US"/>
              </w:rPr>
              <w:t>FR1</w:t>
            </w:r>
          </w:p>
        </w:tc>
        <w:tc>
          <w:tcPr>
            <w:tcW w:w="957" w:type="pct"/>
            <w:tcBorders>
              <w:top w:val="single" w:color="auto" w:sz="4" w:space="0"/>
              <w:left w:val="single" w:color="auto" w:sz="4" w:space="0"/>
              <w:bottom w:val="single" w:color="auto" w:sz="4" w:space="0"/>
              <w:right w:val="single" w:color="auto" w:sz="4" w:space="0"/>
            </w:tcBorders>
          </w:tcPr>
          <w:p>
            <w:pPr>
              <w:pStyle w:val="34"/>
              <w:spacing w:beforeLines="0" w:after="157" w:afterLines="50"/>
              <w:rPr>
                <w:vertAlign w:val="superscript"/>
                <w:lang w:val="en-US"/>
              </w:rPr>
            </w:pPr>
            <w:r>
              <w:rPr>
                <w:lang w:val="en-US"/>
              </w:rPr>
              <w:t>FR2</w:t>
            </w:r>
            <w:r>
              <w:rPr>
                <w:vertAlign w:val="superscript"/>
                <w:lang w:val="en-US"/>
              </w:rPr>
              <w:t>Note1</w:t>
            </w:r>
          </w:p>
        </w:tc>
        <w:tc>
          <w:tcPr>
            <w:tcW w:w="0" w:type="auto"/>
            <w:tcBorders>
              <w:top w:val="nil"/>
              <w:left w:val="single" w:color="auto" w:sz="4" w:space="0"/>
              <w:bottom w:val="single" w:color="auto" w:sz="4" w:space="0"/>
              <w:right w:val="single" w:color="auto" w:sz="4" w:space="0"/>
            </w:tcBorders>
            <w:shd w:val="clear" w:color="auto" w:fill="auto"/>
          </w:tcPr>
          <w:p>
            <w:pPr>
              <w:pStyle w:val="34"/>
              <w:spacing w:beforeLines="0" w:after="157" w:afterLines="5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en-US"/>
              </w:rPr>
            </w:pPr>
            <w:r>
              <w:rPr>
                <w:lang w:val="en-US"/>
              </w:rPr>
              <w:t>0.32</w:t>
            </w:r>
          </w:p>
        </w:tc>
        <w:tc>
          <w:tcPr>
            <w:tcW w:w="954" w:type="pct"/>
            <w:tcBorders>
              <w:top w:val="single" w:color="auto" w:sz="4" w:space="0"/>
              <w:left w:val="single" w:color="auto" w:sz="4" w:space="0"/>
              <w:bottom w:val="nil"/>
              <w:right w:val="single" w:color="auto" w:sz="4" w:space="0"/>
            </w:tcBorders>
            <w:shd w:val="clear" w:color="auto" w:fill="auto"/>
          </w:tcPr>
          <w:p>
            <w:pPr>
              <w:pStyle w:val="35"/>
              <w:spacing w:beforeLines="0" w:after="157" w:afterLines="50"/>
              <w:rPr>
                <w:lang w:val="en-US"/>
              </w:rPr>
            </w:pPr>
            <w:r>
              <w:rPr>
                <w:lang w:val="en-US"/>
              </w:rPr>
              <w:t>1</w:t>
            </w:r>
          </w:p>
        </w:tc>
        <w:tc>
          <w:tcPr>
            <w:tcW w:w="957"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en-US"/>
              </w:rPr>
            </w:pPr>
            <w:r>
              <w:rPr>
                <w:lang w:val="en-US"/>
              </w:rPr>
              <w:t>8</w:t>
            </w:r>
          </w:p>
        </w:tc>
        <w:tc>
          <w:tcPr>
            <w:tcW w:w="2000"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en-US"/>
              </w:rPr>
            </w:pPr>
            <w:r>
              <w:rPr>
                <w:lang w:val="en-US"/>
              </w:rPr>
              <w:t>0.64</w:t>
            </w:r>
          </w:p>
        </w:tc>
        <w:tc>
          <w:tcPr>
            <w:tcW w:w="0" w:type="auto"/>
            <w:tcBorders>
              <w:top w:val="nil"/>
              <w:left w:val="single" w:color="auto" w:sz="4" w:space="0"/>
              <w:bottom w:val="nil"/>
              <w:right w:val="single" w:color="auto" w:sz="4" w:space="0"/>
            </w:tcBorders>
            <w:shd w:val="clear" w:color="auto" w:fill="auto"/>
          </w:tcPr>
          <w:p>
            <w:pPr>
              <w:pStyle w:val="35"/>
              <w:spacing w:beforeLines="0" w:after="157" w:afterLines="50"/>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en-US"/>
              </w:rPr>
            </w:pPr>
            <w:r>
              <w:rPr>
                <w:lang w:val="en-US"/>
              </w:rPr>
              <w:t>5</w:t>
            </w:r>
          </w:p>
        </w:tc>
        <w:tc>
          <w:tcPr>
            <w:tcW w:w="2000"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en-US"/>
              </w:rPr>
            </w:pPr>
            <w:r>
              <w:rPr>
                <w:lang w:val="en-US"/>
              </w:rPr>
              <w:t>N2 x 1.28 x N1 (N2 x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en-US"/>
              </w:rPr>
            </w:pPr>
            <w:r>
              <w:rPr>
                <w:lang w:val="en-US"/>
              </w:rPr>
              <w:t>1.28</w:t>
            </w:r>
          </w:p>
        </w:tc>
        <w:tc>
          <w:tcPr>
            <w:tcW w:w="0" w:type="auto"/>
            <w:tcBorders>
              <w:top w:val="nil"/>
              <w:left w:val="single" w:color="auto" w:sz="4" w:space="0"/>
              <w:bottom w:val="nil"/>
              <w:right w:val="single" w:color="auto" w:sz="4" w:space="0"/>
            </w:tcBorders>
            <w:shd w:val="clear" w:color="auto" w:fill="auto"/>
          </w:tcPr>
          <w:p>
            <w:pPr>
              <w:pStyle w:val="35"/>
              <w:spacing w:beforeLines="0" w:after="157" w:afterLines="50"/>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en-US"/>
              </w:rPr>
            </w:pPr>
            <w:r>
              <w:rPr>
                <w:lang w:val="en-US"/>
              </w:rPr>
              <w:t>4</w:t>
            </w:r>
          </w:p>
        </w:tc>
        <w:tc>
          <w:tcPr>
            <w:tcW w:w="2000"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en-US"/>
              </w:rPr>
            </w:pPr>
            <w:r>
              <w:rPr>
                <w:lang w:val="en-US"/>
              </w:rPr>
              <w:t>N2 x 1.28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089"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en-US"/>
              </w:rPr>
            </w:pPr>
            <w:r>
              <w:rPr>
                <w:lang w:val="en-US"/>
              </w:rPr>
              <w:t>2.56</w:t>
            </w:r>
          </w:p>
        </w:tc>
        <w:tc>
          <w:tcPr>
            <w:tcW w:w="0" w:type="auto"/>
            <w:tcBorders>
              <w:top w:val="nil"/>
              <w:left w:val="single" w:color="auto" w:sz="4" w:space="0"/>
              <w:bottom w:val="single" w:color="auto" w:sz="4" w:space="0"/>
              <w:right w:val="single" w:color="auto" w:sz="4" w:space="0"/>
            </w:tcBorders>
            <w:shd w:val="clear" w:color="auto" w:fill="auto"/>
          </w:tcPr>
          <w:p>
            <w:pPr>
              <w:pStyle w:val="35"/>
              <w:spacing w:beforeLines="0" w:after="157" w:afterLines="50"/>
              <w:rPr>
                <w:lang w:val="en-US"/>
              </w:rPr>
            </w:pPr>
          </w:p>
        </w:tc>
        <w:tc>
          <w:tcPr>
            <w:tcW w:w="957"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en-US"/>
              </w:rPr>
            </w:pPr>
            <w:r>
              <w:rPr>
                <w:lang w:val="en-US"/>
              </w:rPr>
              <w:t>3</w:t>
            </w:r>
          </w:p>
        </w:tc>
        <w:tc>
          <w:tcPr>
            <w:tcW w:w="2000" w:type="pct"/>
            <w:tcBorders>
              <w:top w:val="single" w:color="auto" w:sz="4" w:space="0"/>
              <w:left w:val="single" w:color="auto" w:sz="4" w:space="0"/>
              <w:bottom w:val="single" w:color="auto" w:sz="4" w:space="0"/>
              <w:right w:val="single" w:color="auto" w:sz="4" w:space="0"/>
            </w:tcBorders>
          </w:tcPr>
          <w:p>
            <w:pPr>
              <w:pStyle w:val="35"/>
              <w:spacing w:beforeLines="0" w:after="157" w:afterLines="50"/>
              <w:rPr>
                <w:lang w:val="en-US"/>
              </w:rPr>
            </w:pPr>
            <w:r>
              <w:rPr>
                <w:lang w:val="en-US"/>
              </w:rPr>
              <w:t>N2 x 2.56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47"/>
              <w:spacing w:beforeLines="0" w:after="157" w:afterLines="50"/>
              <w:rPr>
                <w:lang w:val="en-US"/>
              </w:rPr>
            </w:pPr>
            <w:r>
              <w:rPr>
                <w:snapToGrid w:val="0"/>
                <w:lang w:val="en-US" w:eastAsia="zh-CN"/>
              </w:rPr>
              <w:t>Note 1</w:t>
            </w:r>
            <w:r>
              <w:rPr>
                <w:lang w:val="en-US"/>
              </w:rPr>
              <w:t>:</w:t>
            </w:r>
            <w:r>
              <w:rPr>
                <w:lang w:val="en-US"/>
              </w:rPr>
              <w:tab/>
            </w:r>
            <w:r>
              <w:rPr>
                <w:lang w:val="en-US"/>
              </w:rPr>
              <w:t xml:space="preserve">Applies for UE supporting power class </w:t>
            </w:r>
            <w:r>
              <w:rPr>
                <w:lang w:val="en-US" w:eastAsia="zh-CN"/>
              </w:rPr>
              <w:t>2&amp;3&amp;4</w:t>
            </w:r>
            <w:r>
              <w:rPr>
                <w:lang w:val="en-US"/>
              </w:rPr>
              <w:t>. For UE supporting power class 1, N1 = 8 for all DRX cycle length.</w:t>
            </w:r>
          </w:p>
          <w:p>
            <w:pPr>
              <w:pStyle w:val="47"/>
              <w:spacing w:beforeLines="0" w:after="157" w:afterLines="50"/>
              <w:rPr>
                <w:lang w:val="en-US"/>
              </w:rPr>
            </w:pPr>
            <w:r>
              <w:rPr>
                <w:snapToGrid w:val="0"/>
                <w:lang w:eastAsia="zh-CN"/>
              </w:rPr>
              <w:t>N</w:t>
            </w:r>
            <w:r>
              <w:rPr>
                <w:rFonts w:hint="eastAsia"/>
                <w:snapToGrid w:val="0"/>
                <w:lang w:eastAsia="zh-CN"/>
              </w:rPr>
              <w:t xml:space="preserve">OTE </w:t>
            </w:r>
            <w:r>
              <w:rPr>
                <w:snapToGrid w:val="0"/>
                <w:lang w:eastAsia="zh-CN"/>
              </w:rPr>
              <w:t>2:</w:t>
            </w:r>
            <w:r>
              <w:rPr>
                <w:lang w:val="en-US" w:eastAsia="zh-CN"/>
              </w:rPr>
              <w:tab/>
            </w:r>
            <w:r>
              <w:t>N2 = 3 if the NR inter-frequency carrier for idle mode CA/DC measurement reporting is in FR1, and N2 = 3, 5 if the NR inter-frequency carrier for idle mode CA/DC measurement reporting is in FR2.</w:t>
            </w:r>
          </w:p>
        </w:tc>
      </w:tr>
    </w:tbl>
    <w:p>
      <w:pPr>
        <w:keepNext w:val="0"/>
        <w:keepLines w:val="0"/>
        <w:pageBreakBefore w:val="0"/>
        <w:widowControl/>
        <w:numPr>
          <w:ilvl w:val="0"/>
          <w:numId w:val="0"/>
        </w:numPr>
        <w:kinsoku/>
        <w:wordWrap/>
        <w:topLinePunct w:val="0"/>
        <w:bidi w:val="0"/>
        <w:snapToGrid/>
        <w:spacing w:before="0" w:beforeLines="0" w:after="157" w:afterLines="50"/>
        <w:rPr>
          <w:rFonts w:hint="eastAsia"/>
          <w:lang w:val="en-US" w:eastAsia="zh-CN"/>
        </w:rPr>
      </w:pPr>
      <w:r>
        <w:rPr>
          <w:rFonts w:hint="eastAsia"/>
          <w:lang w:val="en-US" w:eastAsia="zh-CN"/>
        </w:rPr>
        <w:t xml:space="preserve">In Rel-18, RAN4 has discussed </w:t>
      </w:r>
      <w:r>
        <w:rPr>
          <w:lang w:val="en-US" w:eastAsia="ja-JP"/>
        </w:rPr>
        <w:t>SSB index identification delay</w:t>
      </w:r>
      <w:r>
        <w:rPr>
          <w:rFonts w:hint="eastAsia"/>
          <w:lang w:val="en-US" w:eastAsia="zh-CN"/>
        </w:rPr>
        <w:t xml:space="preserve"> for unknown intra-frequency cell and unknown inter-frequency cell. Finially, RAN4 has reached concensus that 3+4 samples for intra-frequency and 3+3 samples for inter-frequency. In our understanding, same requirements can be reused for EMR measurement. That</w:t>
      </w:r>
      <w:r>
        <w:rPr>
          <w:rFonts w:hint="default"/>
          <w:lang w:val="en-US" w:eastAsia="zh-CN"/>
        </w:rPr>
        <w:t>’</w:t>
      </w:r>
      <w:r>
        <w:rPr>
          <w:rFonts w:hint="eastAsia"/>
          <w:lang w:val="en-US" w:eastAsia="zh-CN"/>
        </w:rPr>
        <w:t xml:space="preserve">s to say, N2=[3+3] if </w:t>
      </w:r>
      <w:r>
        <w:t>the NR inter-frequency carrier for idle mode CA/DC measurement reporting is in FR1</w:t>
      </w:r>
      <w:r>
        <w:rPr>
          <w:rFonts w:hint="eastAsia"/>
          <w:lang w:val="en-US" w:eastAsia="zh-CN"/>
        </w:rPr>
        <w:t xml:space="preserve">and </w:t>
      </w:r>
      <w:r>
        <w:rPr>
          <w:lang w:eastAsia="ja-JP"/>
        </w:rPr>
        <w:t>PBCH bandwidth for 3MHz channel bandwidt</w:t>
      </w:r>
      <w:r>
        <w:rPr>
          <w:rFonts w:hint="eastAsia"/>
          <w:lang w:val="en-US" w:eastAsia="zh-CN"/>
        </w:rPr>
        <w:t>h.</w:t>
      </w:r>
    </w:p>
    <w:p>
      <w:pPr>
        <w:numPr>
          <w:ilvl w:val="-1"/>
          <w:numId w:val="0"/>
        </w:numPr>
        <w:spacing w:beforeLines="0" w:after="157" w:afterLines="50"/>
        <w:ind w:left="0" w:firstLine="0"/>
        <w:rPr>
          <w:b/>
          <w:bCs/>
          <w:lang w:val="en-US" w:eastAsia="ja-JP"/>
        </w:rPr>
      </w:pPr>
      <w:r>
        <w:rPr>
          <w:rFonts w:hint="eastAsia"/>
          <w:b/>
          <w:bCs/>
          <w:lang w:val="en-US" w:eastAsia="zh-CN"/>
        </w:rPr>
        <w:t xml:space="preserve">Observation 1: In Rel-18, </w:t>
      </w:r>
      <w:r>
        <w:rPr>
          <w:b/>
          <w:bCs/>
          <w:lang w:val="en-US" w:eastAsia="ja-JP"/>
        </w:rPr>
        <w:t>SSB index identification delay</w:t>
      </w:r>
    </w:p>
    <w:p>
      <w:pPr>
        <w:numPr>
          <w:ilvl w:val="1"/>
          <w:numId w:val="7"/>
        </w:numPr>
        <w:spacing w:beforeLines="0" w:after="157" w:afterLines="50"/>
        <w:rPr>
          <w:b/>
          <w:bCs/>
          <w:lang w:val="en-US" w:eastAsia="ja-JP"/>
        </w:rPr>
      </w:pPr>
      <w:r>
        <w:rPr>
          <w:b/>
          <w:bCs/>
          <w:lang w:val="en-US" w:eastAsia="ja-JP"/>
        </w:rPr>
        <w:t>Unknown intra-frequency cell (Es/Iot≥-6 dB): 3+4 samples</w:t>
      </w:r>
    </w:p>
    <w:p>
      <w:pPr>
        <w:keepNext w:val="0"/>
        <w:keepLines w:val="0"/>
        <w:pageBreakBefore w:val="0"/>
        <w:widowControl/>
        <w:numPr>
          <w:ilvl w:val="1"/>
          <w:numId w:val="7"/>
        </w:numPr>
        <w:kinsoku/>
        <w:wordWrap/>
        <w:topLinePunct w:val="0"/>
        <w:bidi w:val="0"/>
        <w:snapToGrid/>
        <w:spacing w:before="0" w:beforeLines="0" w:after="157" w:afterLines="50"/>
        <w:rPr>
          <w:rFonts w:hint="default"/>
          <w:lang w:val="en-US" w:eastAsia="zh-CN"/>
        </w:rPr>
      </w:pPr>
      <w:r>
        <w:rPr>
          <w:b/>
          <w:bCs/>
          <w:lang w:val="en-US" w:eastAsia="ja-JP"/>
        </w:rPr>
        <w:t>Unknown inter-frequency cell (Es/Iot≥-4 dB): 3+3 samples</w:t>
      </w:r>
    </w:p>
    <w:p>
      <w:pPr>
        <w:keepNext w:val="0"/>
        <w:keepLines w:val="0"/>
        <w:pageBreakBefore w:val="0"/>
        <w:widowControl/>
        <w:numPr>
          <w:ilvl w:val="0"/>
          <w:numId w:val="0"/>
        </w:numPr>
        <w:kinsoku/>
        <w:wordWrap/>
        <w:topLinePunct w:val="0"/>
        <w:bidi w:val="0"/>
        <w:snapToGrid/>
        <w:spacing w:before="0" w:beforeLines="0" w:after="157" w:afterLines="50"/>
        <w:rPr>
          <w:rFonts w:hint="eastAsia" w:eastAsia="宋体"/>
          <w:b/>
          <w:bCs/>
          <w:lang w:val="en-US" w:eastAsia="zh-CN"/>
        </w:rPr>
      </w:pPr>
      <w:r>
        <w:rPr>
          <w:rFonts w:hint="eastAsia"/>
          <w:b/>
          <w:bCs/>
          <w:lang w:val="en-US" w:eastAsia="zh-CN"/>
        </w:rPr>
        <w:t>Proposal 3: F</w:t>
      </w:r>
      <w:r>
        <w:rPr>
          <w:b/>
          <w:bCs/>
          <w:lang w:eastAsia="ja-JP"/>
        </w:rPr>
        <w:t>or 3MHz channel bandwidt</w:t>
      </w:r>
      <w:r>
        <w:rPr>
          <w:rFonts w:hint="eastAsia"/>
          <w:b/>
          <w:bCs/>
          <w:lang w:val="en-US" w:eastAsia="zh-CN"/>
        </w:rPr>
        <w:t xml:space="preserve">h, N2=[3+3] if </w:t>
      </w:r>
      <w:r>
        <w:rPr>
          <w:b/>
          <w:bCs/>
        </w:rPr>
        <w:t>the NR inter-frequency carrier for idle mode CA/DC measurement reporting is in FR1</w:t>
      </w:r>
      <w:r>
        <w:rPr>
          <w:rFonts w:hint="eastAsia"/>
          <w:b/>
          <w:bCs/>
          <w:lang w:val="en-US" w:eastAsia="zh-CN"/>
        </w:rPr>
        <w:t>.</w:t>
      </w:r>
    </w:p>
    <w:p>
      <w:pPr>
        <w:keepNext w:val="0"/>
        <w:keepLines w:val="0"/>
        <w:pageBreakBefore w:val="0"/>
        <w:widowControl/>
        <w:kinsoku/>
        <w:wordWrap/>
        <w:topLinePunct w:val="0"/>
        <w:bidi w:val="0"/>
        <w:snapToGrid/>
        <w:spacing w:before="0" w:beforeLines="0" w:after="157" w:afterLines="50"/>
        <w:rPr>
          <w:rFonts w:hint="default"/>
          <w:lang w:val="en-US" w:eastAsia="zh-CN"/>
        </w:rPr>
      </w:pPr>
      <w:r>
        <w:rPr>
          <w:rFonts w:hint="eastAsia"/>
          <w:lang w:val="en-US" w:eastAsia="zh-CN"/>
        </w:rPr>
        <w:t>As to PSCell addition/change/release, we can refer to the discussion on side condition for handover in Rel-18. In Rel-18, the value of T_delta has be updated and additional Trs has be added in handover requirements due to</w:t>
      </w:r>
      <w:r>
        <w:rPr>
          <w:lang w:eastAsia="ja-JP"/>
        </w:rPr>
        <w:t xml:space="preserve"> PBCH BW of 12PRBs for 3MHz channel bandwidth</w:t>
      </w:r>
      <w:r>
        <w:rPr>
          <w:rFonts w:hint="eastAsia"/>
          <w:lang w:val="en-US" w:eastAsia="zh-CN"/>
        </w:rPr>
        <w:t>. In our understanding, the same principle can be reused for PSCell addition/change/release delay.</w:t>
      </w:r>
    </w:p>
    <w:p>
      <w:pPr>
        <w:keepNext w:val="0"/>
        <w:keepLines w:val="0"/>
        <w:pageBreakBefore w:val="0"/>
        <w:widowControl/>
        <w:kinsoku/>
        <w:wordWrap/>
        <w:topLinePunct w:val="0"/>
        <w:bidi w:val="0"/>
        <w:snapToGrid/>
        <w:spacing w:before="0" w:beforeLines="0" w:after="157" w:afterLines="50"/>
        <w:rPr>
          <w:rFonts w:hint="eastAsia"/>
          <w:b/>
          <w:bCs/>
          <w:lang w:val="en-US" w:eastAsia="zh-CN"/>
        </w:rPr>
      </w:pPr>
      <w:r>
        <w:rPr>
          <w:rFonts w:hint="eastAsia"/>
          <w:b/>
          <w:bCs/>
          <w:lang w:val="en-US" w:eastAsia="zh-CN"/>
        </w:rPr>
        <w:t xml:space="preserve">Observation 2: In the latest version of TS 38.133, T_delta = 3*Trs for both known and unknown target cells operating with 12 PRB SSB BW. </w:t>
      </w:r>
    </w:p>
    <w:p>
      <w:pPr>
        <w:keepNext w:val="0"/>
        <w:keepLines w:val="0"/>
        <w:pageBreakBefore w:val="0"/>
        <w:widowControl/>
        <w:kinsoku/>
        <w:wordWrap/>
        <w:topLinePunct w:val="0"/>
        <w:bidi w:val="0"/>
        <w:snapToGrid/>
        <w:spacing w:before="0" w:beforeLines="0" w:after="157" w:afterLines="50"/>
        <w:rPr>
          <w:rFonts w:hint="default"/>
          <w:b/>
          <w:bCs/>
          <w:lang w:val="en-US" w:eastAsia="zh-CN"/>
        </w:rPr>
      </w:pPr>
      <w:r>
        <w:rPr>
          <w:rFonts w:hint="eastAsia"/>
          <w:b/>
          <w:bCs/>
          <w:lang w:val="en-US" w:eastAsia="zh-CN"/>
        </w:rPr>
        <w:t>Proposal 4: Samilar as HO requirements, T_delta should be updated and additional two Trs should be added for PSCell addition/change/release delay</w:t>
      </w:r>
    </w:p>
    <w:bookmarkEnd w:id="1"/>
    <w:bookmarkEnd w:id="2"/>
    <w:bookmarkEnd w:id="3"/>
    <w:bookmarkEnd w:id="4"/>
    <w:p>
      <w:pPr>
        <w:pStyle w:val="54"/>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RRRM impacts for less than 5MHz BW</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keepNext w:val="0"/>
        <w:keepLines w:val="0"/>
        <w:pageBreakBefore w:val="0"/>
        <w:widowControl/>
        <w:kinsoku/>
        <w:wordWrap/>
        <w:topLinePunct w:val="0"/>
        <w:bidi w:val="0"/>
        <w:snapToGrid/>
        <w:spacing w:before="0" w:beforeLines="0" w:after="157" w:afterLines="50"/>
        <w:rPr>
          <w:rFonts w:hint="default"/>
          <w:b/>
          <w:bCs/>
          <w:lang w:val="en-US" w:eastAsia="zh-CN"/>
        </w:rPr>
      </w:pPr>
      <w:r>
        <w:rPr>
          <w:rFonts w:hint="eastAsia"/>
          <w:b/>
          <w:bCs/>
          <w:lang w:val="en-US" w:eastAsia="zh-CN"/>
        </w:rPr>
        <w:t>Proposal 1: RAN4 will define SSB-based L1/L3 measurement requirements. And CSI-RS based L1/L3 measurement is recommended to be accorded a lower priority.</w:t>
      </w:r>
    </w:p>
    <w:p>
      <w:pPr>
        <w:spacing w:after="0" w:afterLines="0"/>
        <w:rPr>
          <w:b/>
          <w:bCs/>
          <w:szCs w:val="21"/>
          <w:lang w:eastAsia="ja-JP"/>
        </w:rPr>
      </w:pPr>
      <w:r>
        <w:rPr>
          <w:b/>
          <w:bCs/>
          <w:szCs w:val="21"/>
          <w:lang w:eastAsia="ja-JP"/>
        </w:rPr>
        <w:t xml:space="preserve">Proposal </w:t>
      </w:r>
      <w:r>
        <w:rPr>
          <w:rFonts w:hint="eastAsia"/>
          <w:b/>
          <w:bCs/>
          <w:szCs w:val="21"/>
          <w:lang w:val="en-US" w:eastAsia="zh-CN"/>
        </w:rPr>
        <w:t>2</w:t>
      </w:r>
      <w:r>
        <w:rPr>
          <w:b/>
          <w:bCs/>
          <w:szCs w:val="21"/>
          <w:lang w:eastAsia="ja-JP"/>
        </w:rPr>
        <w:t>: RAN4 to study impact of reduced PBCH BW of 12PRBs for 3MHz channel bandwidth on at least the following RRM requirements:</w:t>
      </w:r>
    </w:p>
    <w:p>
      <w:pPr>
        <w:keepNext w:val="0"/>
        <w:keepLines w:val="0"/>
        <w:pageBreakBefore w:val="0"/>
        <w:widowControl/>
        <w:numPr>
          <w:ilvl w:val="1"/>
          <w:numId w:val="6"/>
        </w:numPr>
        <w:kinsoku/>
        <w:wordWrap/>
        <w:topLinePunct w:val="0"/>
        <w:bidi w:val="0"/>
        <w:snapToGrid/>
        <w:spacing w:before="0" w:beforeLines="-2147483648" w:after="0" w:afterLines="0"/>
        <w:ind w:left="840" w:hanging="420"/>
        <w:rPr>
          <w:b/>
          <w:bCs/>
          <w:sz w:val="21"/>
          <w:szCs w:val="21"/>
        </w:rPr>
      </w:pPr>
      <w:r>
        <w:rPr>
          <w:b/>
          <w:bCs/>
          <w:sz w:val="21"/>
          <w:szCs w:val="21"/>
        </w:rPr>
        <w:t>EMR measurement with SS</w:t>
      </w:r>
      <w:r>
        <w:rPr>
          <w:rFonts w:hint="eastAsia"/>
          <w:b/>
          <w:bCs/>
          <w:sz w:val="21"/>
          <w:szCs w:val="21"/>
          <w:lang w:val="en-US" w:eastAsia="zh-CN"/>
        </w:rPr>
        <w:t>B</w:t>
      </w:r>
      <w:r>
        <w:rPr>
          <w:b/>
          <w:bCs/>
          <w:sz w:val="21"/>
          <w:szCs w:val="21"/>
        </w:rPr>
        <w:t xml:space="preserve"> index reading</w:t>
      </w:r>
    </w:p>
    <w:p>
      <w:pPr>
        <w:keepNext w:val="0"/>
        <w:keepLines w:val="0"/>
        <w:pageBreakBefore w:val="0"/>
        <w:widowControl/>
        <w:numPr>
          <w:ilvl w:val="1"/>
          <w:numId w:val="6"/>
        </w:numPr>
        <w:kinsoku/>
        <w:wordWrap/>
        <w:topLinePunct w:val="0"/>
        <w:bidi w:val="0"/>
        <w:snapToGrid/>
        <w:spacing w:before="0" w:beforeLines="-2147483648" w:after="0" w:afterLines="0"/>
        <w:ind w:left="840" w:hanging="420"/>
        <w:rPr>
          <w:b/>
          <w:bCs/>
          <w:sz w:val="21"/>
          <w:szCs w:val="21"/>
          <w:lang w:eastAsia="ja-JP"/>
        </w:rPr>
      </w:pPr>
      <w:r>
        <w:rPr>
          <w:b/>
          <w:bCs/>
          <w:color w:val="000000"/>
          <w:sz w:val="21"/>
          <w:szCs w:val="21"/>
        </w:rPr>
        <w:t>SCell activation/deactivation</w:t>
      </w:r>
    </w:p>
    <w:p>
      <w:pPr>
        <w:keepNext w:val="0"/>
        <w:keepLines w:val="0"/>
        <w:pageBreakBefore w:val="0"/>
        <w:widowControl/>
        <w:numPr>
          <w:ilvl w:val="1"/>
          <w:numId w:val="6"/>
        </w:numPr>
        <w:kinsoku/>
        <w:wordWrap/>
        <w:topLinePunct w:val="0"/>
        <w:bidi w:val="0"/>
        <w:snapToGrid/>
        <w:spacing w:before="0" w:beforeLines="-2147483648" w:after="0" w:afterLines="0"/>
        <w:ind w:left="840" w:hanging="420"/>
        <w:rPr>
          <w:b/>
          <w:bCs/>
          <w:color w:val="000000"/>
          <w:sz w:val="21"/>
          <w:szCs w:val="21"/>
        </w:rPr>
      </w:pPr>
      <w:r>
        <w:rPr>
          <w:b/>
          <w:bCs/>
          <w:color w:val="000000"/>
          <w:sz w:val="21"/>
          <w:szCs w:val="21"/>
        </w:rPr>
        <w:t>PSCell addition/change/release</w:t>
      </w:r>
    </w:p>
    <w:p>
      <w:pPr>
        <w:widowControl/>
        <w:numPr>
          <w:ilvl w:val="1"/>
          <w:numId w:val="6"/>
        </w:numPr>
        <w:spacing w:after="157" w:afterLines="50"/>
        <w:ind w:left="840" w:hanging="420"/>
        <w:rPr>
          <w:rFonts w:hint="eastAsia"/>
          <w:b/>
          <w:bCs/>
          <w:lang w:val="en-US" w:eastAsia="zh-CN"/>
        </w:rPr>
      </w:pPr>
      <w:r>
        <w:rPr>
          <w:b/>
          <w:bCs/>
          <w:color w:val="000000"/>
          <w:sz w:val="21"/>
          <w:szCs w:val="21"/>
        </w:rPr>
        <w:t>SCG activation/deactivation</w:t>
      </w:r>
    </w:p>
    <w:p>
      <w:pPr>
        <w:numPr>
          <w:ilvl w:val="-1"/>
          <w:numId w:val="0"/>
        </w:numPr>
        <w:spacing w:after="157" w:afterLines="50"/>
        <w:ind w:left="0" w:firstLine="0"/>
        <w:rPr>
          <w:b/>
          <w:bCs/>
          <w:lang w:val="en-US" w:eastAsia="ja-JP"/>
        </w:rPr>
      </w:pPr>
      <w:r>
        <w:rPr>
          <w:rFonts w:hint="eastAsia"/>
          <w:b/>
          <w:bCs/>
          <w:lang w:val="en-US" w:eastAsia="zh-CN"/>
        </w:rPr>
        <w:t xml:space="preserve">Observation 1: In Rel-18, </w:t>
      </w:r>
      <w:r>
        <w:rPr>
          <w:b/>
          <w:bCs/>
          <w:lang w:val="en-US" w:eastAsia="ja-JP"/>
        </w:rPr>
        <w:t>SSB index identification delay</w:t>
      </w:r>
    </w:p>
    <w:p>
      <w:pPr>
        <w:numPr>
          <w:ilvl w:val="1"/>
          <w:numId w:val="7"/>
        </w:numPr>
        <w:spacing w:after="157" w:afterLines="50"/>
        <w:rPr>
          <w:b/>
          <w:bCs/>
          <w:lang w:val="en-US" w:eastAsia="ja-JP"/>
        </w:rPr>
      </w:pPr>
      <w:r>
        <w:rPr>
          <w:b/>
          <w:bCs/>
          <w:lang w:val="en-US" w:eastAsia="ja-JP"/>
        </w:rPr>
        <w:t>Unknown intra-frequency cell (Es/Iot≥-6 dB): 3+4 samples</w:t>
      </w:r>
    </w:p>
    <w:p>
      <w:pPr>
        <w:keepNext w:val="0"/>
        <w:keepLines w:val="0"/>
        <w:pageBreakBefore w:val="0"/>
        <w:widowControl/>
        <w:numPr>
          <w:ilvl w:val="1"/>
          <w:numId w:val="7"/>
        </w:numPr>
        <w:kinsoku/>
        <w:wordWrap/>
        <w:topLinePunct w:val="0"/>
        <w:bidi w:val="0"/>
        <w:snapToGrid/>
        <w:spacing w:before="0" w:beforeLines="-2147483648" w:after="157" w:afterLines="50"/>
        <w:rPr>
          <w:rFonts w:hint="default"/>
          <w:lang w:val="en-US" w:eastAsia="zh-CN"/>
        </w:rPr>
      </w:pPr>
      <w:r>
        <w:rPr>
          <w:b/>
          <w:bCs/>
          <w:lang w:val="en-US" w:eastAsia="ja-JP"/>
        </w:rPr>
        <w:t>Unknown inter-frequency cell (Es/Iot≥-4 dB): 3+3 samples</w:t>
      </w:r>
    </w:p>
    <w:p>
      <w:pPr>
        <w:keepNext w:val="0"/>
        <w:keepLines w:val="0"/>
        <w:pageBreakBefore w:val="0"/>
        <w:widowControl/>
        <w:kinsoku/>
        <w:wordWrap/>
        <w:topLinePunct w:val="0"/>
        <w:bidi w:val="0"/>
        <w:snapToGrid/>
        <w:spacing w:before="0" w:beforeLines="-2147483648" w:after="157" w:afterLines="50"/>
        <w:rPr>
          <w:rFonts w:hint="eastAsia"/>
          <w:b/>
          <w:bCs/>
          <w:lang w:val="en-US" w:eastAsia="zh-CN"/>
        </w:rPr>
      </w:pPr>
      <w:r>
        <w:rPr>
          <w:rFonts w:hint="eastAsia"/>
          <w:b/>
          <w:bCs/>
          <w:lang w:val="en-US" w:eastAsia="zh-CN"/>
        </w:rPr>
        <w:t>Proposal 3: F</w:t>
      </w:r>
      <w:r>
        <w:rPr>
          <w:b/>
          <w:bCs/>
          <w:lang w:eastAsia="ja-JP"/>
        </w:rPr>
        <w:t>or 3MHz channel bandwidt</w:t>
      </w:r>
      <w:r>
        <w:rPr>
          <w:rFonts w:hint="eastAsia"/>
          <w:b/>
          <w:bCs/>
          <w:lang w:val="en-US" w:eastAsia="zh-CN"/>
        </w:rPr>
        <w:t xml:space="preserve">h, N2=[3+3] if </w:t>
      </w:r>
      <w:r>
        <w:rPr>
          <w:b/>
          <w:bCs/>
        </w:rPr>
        <w:t>the NR inter-frequency carrier for idle mode CA/DC measurement reporting is in FR1</w:t>
      </w:r>
      <w:r>
        <w:rPr>
          <w:rFonts w:hint="eastAsia"/>
          <w:b/>
          <w:bCs/>
          <w:lang w:val="en-US" w:eastAsia="zh-CN"/>
        </w:rPr>
        <w:t>.</w:t>
      </w:r>
    </w:p>
    <w:p>
      <w:pPr>
        <w:keepNext w:val="0"/>
        <w:keepLines w:val="0"/>
        <w:pageBreakBefore w:val="0"/>
        <w:widowControl/>
        <w:kinsoku/>
        <w:wordWrap/>
        <w:topLinePunct w:val="0"/>
        <w:bidi w:val="0"/>
        <w:snapToGrid/>
        <w:spacing w:before="0" w:beforeLines="-2147483648" w:after="157" w:afterLines="50"/>
        <w:rPr>
          <w:rFonts w:hint="default"/>
          <w:lang w:val="en-US" w:eastAsia="zh-CN"/>
        </w:rPr>
      </w:pPr>
      <w:r>
        <w:rPr>
          <w:rFonts w:hint="eastAsia"/>
          <w:b/>
          <w:bCs/>
          <w:lang w:val="en-US" w:eastAsia="zh-CN"/>
        </w:rPr>
        <w:t xml:space="preserve">Observation 2: In the latest version of TS 38.133, T_delta = 3*Trs for both known and unknown target cells operating with 12 PRB SSB BW. </w:t>
      </w:r>
    </w:p>
    <w:p>
      <w:pPr>
        <w:keepNext w:val="0"/>
        <w:keepLines w:val="0"/>
        <w:pageBreakBefore w:val="0"/>
        <w:widowControl/>
        <w:kinsoku/>
        <w:wordWrap/>
        <w:topLinePunct w:val="0"/>
        <w:bidi w:val="0"/>
        <w:snapToGrid/>
        <w:spacing w:before="0" w:beforeLines="-2147483648" w:after="157" w:afterLines="50"/>
        <w:rPr>
          <w:rFonts w:hint="default"/>
          <w:b/>
          <w:bCs/>
          <w:lang w:val="en-US" w:eastAsia="zh-CN"/>
        </w:rPr>
      </w:pPr>
      <w:r>
        <w:rPr>
          <w:rFonts w:hint="eastAsia"/>
          <w:b/>
          <w:bCs/>
          <w:lang w:val="en-US" w:eastAsia="zh-CN"/>
        </w:rPr>
        <w:t>Proposal 4: Samilar as HO requirements, T_delta should be updated and additional two Trs should be added for PSCell addition/change/release delay</w:t>
      </w:r>
    </w:p>
    <w:p>
      <w:pPr>
        <w:pStyle w:val="54"/>
        <w:tabs>
          <w:tab w:val="left" w:pos="567"/>
          <w:tab w:val="clear" w:pos="1985"/>
        </w:tabs>
        <w:adjustRightInd w:val="0"/>
        <w:ind w:left="510" w:hanging="510"/>
      </w:pPr>
      <w:r>
        <w:t>References</w:t>
      </w:r>
    </w:p>
    <w:p>
      <w:pPr>
        <w:pStyle w:val="52"/>
        <w:numPr>
          <w:ilvl w:val="0"/>
          <w:numId w:val="8"/>
        </w:numPr>
        <w:rPr>
          <w:rFonts w:hint="eastAsia"/>
          <w:b w:val="0"/>
          <w:bCs w:val="0"/>
          <w:i w:val="0"/>
          <w:iCs w:val="0"/>
          <w:sz w:val="21"/>
          <w:szCs w:val="21"/>
          <w:lang w:val="en-US" w:eastAsia="zh-CN"/>
        </w:rPr>
      </w:pPr>
      <w:r>
        <w:rPr>
          <w:rFonts w:hint="eastAsia"/>
          <w:b w:val="0"/>
          <w:bCs w:val="0"/>
          <w:i w:val="0"/>
          <w:iCs w:val="0"/>
          <w:sz w:val="21"/>
          <w:szCs w:val="21"/>
          <w:lang w:val="en-US" w:eastAsia="zh-CN"/>
        </w:rPr>
        <w:t>RP-240832, WI resulting from discussion on NR channel BW less than 5MHz for TN, vivo</w:t>
      </w:r>
    </w:p>
    <w:p>
      <w:pPr>
        <w:pStyle w:val="52"/>
        <w:numPr>
          <w:ilvl w:val="0"/>
          <w:numId w:val="8"/>
        </w:numPr>
        <w:rPr>
          <w:sz w:val="20"/>
          <w:szCs w:val="20"/>
        </w:rPr>
      </w:pPr>
      <w:r>
        <w:rPr>
          <w:rFonts w:hint="eastAsia"/>
          <w:b w:val="0"/>
          <w:bCs w:val="0"/>
          <w:i w:val="0"/>
          <w:iCs w:val="0"/>
          <w:sz w:val="21"/>
          <w:szCs w:val="21"/>
          <w:lang w:val="en-US" w:eastAsia="zh-CN"/>
        </w:rPr>
        <w:t>TS 38.133</w:t>
      </w:r>
    </w:p>
    <w:p>
      <w:pPr>
        <w:pStyle w:val="20"/>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r>
        <w:rPr>
          <w:rStyle w:val="26"/>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58D910"/>
    <w:multiLevelType w:val="multilevel"/>
    <w:tmpl w:val="9958D910"/>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5F7640D"/>
    <w:multiLevelType w:val="multilevel"/>
    <w:tmpl w:val="15F7640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9452662"/>
    <w:multiLevelType w:val="multilevel"/>
    <w:tmpl w:val="4945266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BDF65F6"/>
    <w:multiLevelType w:val="multilevel"/>
    <w:tmpl w:val="4BDF65F6"/>
    <w:lvl w:ilvl="0" w:tentative="0">
      <w:start w:val="1"/>
      <w:numFmt w:val="decimal"/>
      <w:pStyle w:val="9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146DC0"/>
    <w:multiLevelType w:val="multilevel"/>
    <w:tmpl w:val="70146DC0"/>
    <w:lvl w:ilvl="0" w:tentative="0">
      <w:start w:val="1"/>
      <w:numFmt w:val="bullet"/>
      <w:pStyle w:val="94"/>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num w:numId="1">
    <w:abstractNumId w:val="6"/>
  </w:num>
  <w:num w:numId="2">
    <w:abstractNumId w:val="4"/>
  </w:num>
  <w:num w:numId="3">
    <w:abstractNumId w:val="7"/>
  </w:num>
  <w:num w:numId="4">
    <w:abstractNumId w:val="5"/>
  </w:num>
  <w:num w:numId="5">
    <w:abstractNumId w:val="3"/>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96A43"/>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46BAF"/>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073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83778"/>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15C2F"/>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AF37656"/>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4B7B98"/>
    <w:rsid w:val="2F526911"/>
    <w:rsid w:val="2F5741FD"/>
    <w:rsid w:val="2F57587A"/>
    <w:rsid w:val="2F615954"/>
    <w:rsid w:val="2F627A4C"/>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3A2"/>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431CD"/>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01E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159B4"/>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3D74"/>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376DC"/>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3F2011"/>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D009D"/>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A424CA"/>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0D30FC"/>
    <w:rsid w:val="6911326A"/>
    <w:rsid w:val="69183F42"/>
    <w:rsid w:val="691A0EAA"/>
    <w:rsid w:val="691B307E"/>
    <w:rsid w:val="692B3BF3"/>
    <w:rsid w:val="69301A1D"/>
    <w:rsid w:val="6934218F"/>
    <w:rsid w:val="693C5AA5"/>
    <w:rsid w:val="693D00F1"/>
    <w:rsid w:val="693E13B7"/>
    <w:rsid w:val="693E57A6"/>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4094B"/>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50B3E"/>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D3DFD"/>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
    <w:qFormat/>
    <w:uiPriority w:val="0"/>
    <w:pPr>
      <w:ind w:left="851"/>
    </w:pPr>
  </w:style>
  <w:style w:type="paragraph" w:styleId="16">
    <w:name w:val="Balloon Text"/>
    <w:basedOn w:val="1"/>
    <w:link w:val="30"/>
    <w:unhideWhenUsed/>
    <w:qFormat/>
    <w:uiPriority w:val="99"/>
    <w:rPr>
      <w:sz w:val="18"/>
      <w:szCs w:val="18"/>
    </w:rPr>
  </w:style>
  <w:style w:type="paragraph" w:styleId="17">
    <w:name w:val="footer"/>
    <w:basedOn w:val="18"/>
    <w:link w:val="81"/>
    <w:unhideWhenUsed/>
    <w:qFormat/>
    <w:uiPriority w:val="99"/>
    <w:pPr>
      <w:tabs>
        <w:tab w:val="center" w:pos="4153"/>
        <w:tab w:val="right" w:pos="8306"/>
      </w:tabs>
      <w:jc w:val="left"/>
    </w:pPr>
  </w:style>
  <w:style w:type="paragraph" w:styleId="18">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6"/>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9"/>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8"/>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7"/>
    <w:qFormat/>
    <w:uiPriority w:val="99"/>
    <w:rPr>
      <w:sz w:val="18"/>
      <w:szCs w:val="18"/>
    </w:rPr>
  </w:style>
  <w:style w:type="character" w:customStyle="1" w:styleId="82">
    <w:name w:val="批注主题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B2"/>
    <w:basedOn w:val="15"/>
    <w:qFormat/>
    <w:uiPriority w:val="0"/>
  </w:style>
  <w:style w:type="paragraph" w:customStyle="1" w:styleId="93">
    <w:name w:val="Reference"/>
    <w:basedOn w:val="14"/>
    <w:qFormat/>
    <w:uiPriority w:val="0"/>
    <w:pPr>
      <w:numPr>
        <w:ilvl w:val="0"/>
        <w:numId w:val="2"/>
      </w:numPr>
    </w:pPr>
  </w:style>
  <w:style w:type="paragraph" w:customStyle="1" w:styleId="94">
    <w:name w:val="Agreement"/>
    <w:basedOn w:val="1"/>
    <w:next w:val="95"/>
    <w:qFormat/>
    <w:uiPriority w:val="99"/>
    <w:pPr>
      <w:numPr>
        <w:ilvl w:val="0"/>
        <w:numId w:val="3"/>
      </w:numPr>
      <w:tabs>
        <w:tab w:val="left" w:pos="1800"/>
      </w:tabs>
      <w:spacing w:before="60"/>
      <w:ind w:left="1800"/>
    </w:pPr>
    <w:rPr>
      <w:rFonts w:ascii="Arial" w:hAnsi="Arial"/>
      <w:b/>
      <w:lang w:eastAsia="en-GB"/>
    </w:rPr>
  </w:style>
  <w:style w:type="paragraph" w:customStyle="1" w:styleId="95">
    <w:name w:val="Doc-text2"/>
    <w:basedOn w:val="1"/>
    <w:qFormat/>
    <w:uiPriority w:val="0"/>
    <w:pPr>
      <w:tabs>
        <w:tab w:val="left" w:pos="1622"/>
      </w:tabs>
      <w:spacing w:before="0"/>
      <w:ind w:left="1985" w:hanging="363"/>
    </w:pPr>
  </w:style>
  <w:style w:type="paragraph" w:customStyle="1" w:styleId="96">
    <w:name w:val="RAN4 proposal"/>
    <w:basedOn w:val="11"/>
    <w:next w:val="1"/>
    <w:qFormat/>
    <w:uiPriority w:val="0"/>
    <w:pPr>
      <w:numPr>
        <w:ilvl w:val="0"/>
        <w:numId w:val="4"/>
      </w:numPr>
      <w:ind w:left="0" w:firstLine="0"/>
      <w:jc w:val="left"/>
    </w:pPr>
    <w:rPr>
      <w:rFonts w:ascii="Times New Roman" w:hAnsi="Times New Roman"/>
      <w:b/>
      <w:sz w:val="20"/>
    </w:rPr>
  </w:style>
  <w:style w:type="character" w:customStyle="1" w:styleId="97">
    <w:name w:val="normaltextrun"/>
    <w:basedOn w:val="2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4</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2024-08-09T09:26:34Z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CD57AF2B35B842D388DC61AC4BF234E5</vt:lpwstr>
  </property>
</Properties>
</file>